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jpeg" ContentType="image/jpeg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 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p14">
  <w:body>
    <w:p>
      <w:pPr>
        <w:jc w:val="both"/>
        <w:rPr>
          <w:rFonts w:cs="Times New Roman"/>
          <w:bCs/>
          <w:sz w:val="22"/>
        </w:rPr>
      </w:pPr>
      <w:r>
        <w:rPr>
          <w:rFonts w:cs="Times New Roman"/>
          <w:b/>
          <w:bCs/>
          <w:sz w:val="22"/>
          <w:lang w:val="sr-Cyrl-CS"/>
        </w:rPr>
        <w:t xml:space="preserve">Република Србија </w:t>
      </w:r>
      <w:r/>
    </w:p>
    <w:p>
      <w:pPr>
        <w:jc w:val="both"/>
        <w:rPr>
          <w:rFonts w:cs="Times New Roman"/>
          <w:b/>
          <w:bCs/>
          <w:sz w:val="22"/>
          <w:lang w:val="sr-Cyrl-CS"/>
        </w:rPr>
      </w:pPr>
      <w:r>
        <w:rPr>
          <w:rFonts w:cs="Times New Roman"/>
          <w:b/>
          <w:bCs/>
          <w:sz w:val="22"/>
          <w:lang w:val="sr-Cyrl-CS"/>
        </w:rPr>
        <w:t xml:space="preserve">Аутономна Покрајина Војводина</w:t>
      </w:r>
      <w:r/>
    </w:p>
    <w:p>
      <w:pPr>
        <w:jc w:val="both"/>
        <w:rPr>
          <w:rFonts w:cs="Times New Roman"/>
          <w:b/>
          <w:sz w:val="22"/>
          <w:lang w:val="sr-Cyrl-CS"/>
        </w:rPr>
      </w:pPr>
      <w:r>
        <w:rPr>
          <w:rFonts w:cs="Times New Roman"/>
          <w:b/>
          <w:bCs/>
          <w:sz w:val="22"/>
          <w:lang w:val="sr-Cyrl-CS"/>
        </w:rPr>
        <w:t xml:space="preserve">Општина Србобран</w:t>
      </w:r>
      <w:r/>
    </w:p>
    <w:p>
      <w:pPr>
        <w:pStyle w:val="187"/>
        <w:jc w:val="both"/>
        <w:keepLines w:val="false"/>
        <w:spacing w:after="0" w:before="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Општинска управа Србобран </w:t>
      </w:r>
      <w:r/>
    </w:p>
    <w:p>
      <w:pPr>
        <w:rPr>
          <w:b/>
          <w:lang w:val="sr-Cyrl-RS"/>
        </w:rPr>
      </w:pPr>
      <w:r>
        <w:rPr>
          <w:rFonts w:cs="Times New Roman"/>
          <w:b/>
          <w:sz w:val="22"/>
          <w:lang w:val="sr-Cyrl-RS"/>
        </w:rPr>
        <w:t xml:space="preserve">Одељење за урбанизам,стамбено-комналне</w:t>
      </w:r>
      <w:r/>
    </w:p>
    <w:p>
      <w:pPr>
        <w:jc w:val="both"/>
        <w:rPr>
          <w:rFonts w:cs="Times New Roman"/>
          <w:b/>
          <w:bCs/>
          <w:sz w:val="22"/>
          <w:lang w:val="sr-Cyrl-CS"/>
        </w:rPr>
      </w:pPr>
      <w:r>
        <w:rPr>
          <w:rFonts w:cs="Times New Roman"/>
          <w:b/>
          <w:bCs/>
          <w:sz w:val="22"/>
          <w:lang w:val="sr-Cyrl-CS"/>
        </w:rPr>
        <w:t xml:space="preserve">послове и заштиту животне средине </w:t>
      </w:r>
      <w:r/>
    </w:p>
    <w:p>
      <w:pPr>
        <w:jc w:val="both"/>
        <w:rPr>
          <w:rFonts w:cs="Times New Roman"/>
          <w:b/>
          <w:bCs/>
          <w:sz w:val="22"/>
          <w:lang w:val="sr-Cyrl-RS"/>
        </w:rPr>
      </w:pPr>
      <w:r>
        <w:rPr>
          <w:rFonts w:cs="Times New Roman"/>
          <w:b/>
          <w:bCs/>
          <w:sz w:val="22"/>
        </w:rPr>
        <w:t xml:space="preserve">Broj</w:t>
      </w:r>
      <w:r>
        <w:rPr>
          <w:rFonts w:cs="Times New Roman"/>
          <w:b/>
          <w:bCs/>
          <w:sz w:val="22"/>
          <w:lang w:val="sr-Cyrl-RS"/>
        </w:rPr>
        <w:t xml:space="preserve">: </w:t>
      </w:r>
      <w:r>
        <w:rPr>
          <w:rFonts w:cs="Times New Roman"/>
          <w:b/>
          <w:bCs/>
          <w:sz w:val="22"/>
          <w:lang w:val="sr-Cyrl-RS"/>
        </w:rPr>
        <w:t xml:space="preserve">501-</w:t>
      </w:r>
      <w:r>
        <w:rPr>
          <w:rFonts w:cs="Times New Roman"/>
          <w:b/>
          <w:bCs/>
          <w:sz w:val="22"/>
        </w:rPr>
        <w:t xml:space="preserve">19</w:t>
      </w:r>
      <w:r>
        <w:rPr>
          <w:rFonts w:cs="Times New Roman"/>
          <w:b/>
          <w:bCs/>
          <w:sz w:val="22"/>
          <w:lang w:val="sr-Cyrl-RS"/>
        </w:rPr>
        <w:t xml:space="preserve"> /20-</w:t>
      </w:r>
      <w:r>
        <w:rPr>
          <w:rFonts w:cs="Times New Roman"/>
          <w:b/>
          <w:bCs/>
          <w:sz w:val="22"/>
          <w:lang w:val="sr-Latn-RS"/>
        </w:rPr>
        <w:t xml:space="preserve">IV</w:t>
      </w:r>
      <w:r>
        <w:rPr>
          <w:rFonts w:cs="Times New Roman"/>
          <w:b/>
          <w:bCs/>
          <w:sz w:val="22"/>
          <w:lang w:val="sr-Cyrl-RS"/>
        </w:rPr>
        <w:t xml:space="preserve">-01</w:t>
      </w:r>
      <w:r/>
    </w:p>
    <w:p>
      <w:pPr>
        <w:jc w:val="both"/>
        <w:rPr>
          <w:rFonts w:cs="Times New Roman"/>
          <w:b/>
          <w:bCs/>
          <w:sz w:val="22"/>
        </w:rPr>
      </w:pPr>
      <w:r>
        <w:rPr>
          <w:rFonts w:cs="Times New Roman"/>
          <w:b/>
          <w:bCs/>
          <w:sz w:val="22"/>
          <w:lang w:val="sr-Cyrl-RS"/>
        </w:rPr>
        <w:t xml:space="preserve">Дана: </w:t>
      </w:r>
      <w:r>
        <w:rPr>
          <w:rFonts w:cs="Times New Roman"/>
          <w:b/>
          <w:bCs/>
          <w:sz w:val="22"/>
          <w:lang w:val="sr-Cyrl-RS"/>
        </w:rPr>
        <w:t xml:space="preserve">2</w:t>
      </w:r>
      <w:r>
        <w:rPr>
          <w:rFonts w:cs="Times New Roman"/>
          <w:b/>
          <w:bCs/>
          <w:sz w:val="22"/>
        </w:rPr>
        <w:t xml:space="preserve">7</w:t>
      </w:r>
      <w:r>
        <w:rPr>
          <w:rFonts w:cs="Times New Roman"/>
          <w:b/>
          <w:bCs/>
          <w:sz w:val="22"/>
          <w:lang w:val="sr-Cyrl-RS"/>
        </w:rPr>
        <w:t xml:space="preserve">.02.2020.</w:t>
      </w:r>
      <w:r/>
    </w:p>
    <w:p>
      <w:pPr>
        <w:jc w:val="both"/>
        <w:rPr>
          <w:rFonts w:cs="Times New Roman"/>
          <w:b/>
          <w:bCs/>
          <w:sz w:val="22"/>
        </w:rPr>
      </w:pPr>
      <w:r>
        <w:rPr>
          <w:rFonts w:cs="Times New Roman"/>
          <w:b/>
          <w:bCs/>
          <w:sz w:val="22"/>
          <w:lang w:val="sr-Cyrl-CS"/>
        </w:rPr>
        <w:t xml:space="preserve">21480 Србобран, Трг Слободе бр. 2.</w:t>
      </w:r>
      <w:r>
        <w:rPr>
          <w:rFonts w:cs="Times New Roman"/>
          <w:b/>
          <w:bCs/>
          <w:sz w:val="22"/>
        </w:rPr>
        <w:t xml:space="preserve"> </w:t>
      </w:r>
      <w:r/>
    </w:p>
    <w:p>
      <w:pPr>
        <w:jc w:val="both"/>
        <w:rPr>
          <w:rFonts w:cs="Times New Roman"/>
          <w:b/>
          <w:bCs/>
          <w:sz w:val="22"/>
          <w:lang w:val="sr-Cyrl-CS"/>
        </w:rPr>
      </w:pPr>
      <w:r>
        <w:rPr>
          <w:rFonts w:cs="Times New Roman"/>
          <w:b/>
          <w:bCs/>
          <w:sz w:val="22"/>
          <w:lang w:val="sr-Cyrl-CS"/>
        </w:rPr>
        <w:t xml:space="preserve">Тел: 021/ 730-020, Фах: 021/ 731-079</w:t>
      </w:r>
      <w:r/>
    </w:p>
    <w:p>
      <w:pPr>
        <w:pStyle w:val="192"/>
        <w:jc w:val="both"/>
        <w:keepLines w:val="false"/>
        <w:spacing w:after="0" w:before="0"/>
        <w:rPr>
          <w:rFonts w:cs="Times New Roman"/>
          <w:lang w:val="sr-Cyrl-CS"/>
        </w:rPr>
      </w:pPr>
      <w:r>
        <w:rPr>
          <w:rFonts w:cs="Times New Roman"/>
        </w:rPr>
        <w:t xml:space="preserve">E-mail: </w:t>
      </w:r>
      <w:hyperlink r:id="rId8" w:history="1">
        <w:r>
          <w:rPr>
            <w:rStyle w:val="251"/>
            <w:rFonts w:cs="Times New Roman"/>
          </w:rPr>
          <w:t xml:space="preserve">srbobran@eunet.rs</w:t>
        </w:r>
      </w:hyperlink>
      <w:r/>
      <w:r/>
    </w:p>
    <w:p>
      <w:pPr>
        <w:rPr>
          <w:rFonts w:cs="Times New Roman"/>
          <w:sz w:val="22"/>
          <w:lang w:val="sr-Cyrl-RS"/>
        </w:rPr>
      </w:pPr>
      <w:r>
        <w:rPr>
          <w:rFonts w:cs="Times New Roman"/>
          <w:sz w:val="22"/>
          <w:lang w:val="sr-Cyrl-RS"/>
        </w:rPr>
      </w:r>
      <w:r/>
    </w:p>
    <w:p>
      <w:pPr>
        <w:rPr>
          <w:sz w:val="22"/>
          <w:lang w:val="sr-Cyrl-RS"/>
        </w:rPr>
      </w:pPr>
      <w:r>
        <w:rPr>
          <w:sz w:val="22"/>
          <w:lang w:val="sr-Cyrl-RS"/>
        </w:rPr>
      </w:r>
      <w:r/>
    </w:p>
    <w:p>
      <w:pPr>
        <w:rPr>
          <w:sz w:val="22"/>
          <w:lang w:val="sr-Cyrl-RS"/>
        </w:rPr>
      </w:pPr>
      <w:r>
        <w:rPr>
          <w:sz w:val="22"/>
          <w:lang w:val="sr-Cyrl-RS"/>
        </w:rPr>
      </w:r>
      <w:r/>
    </w:p>
    <w:p>
      <w:pPr>
        <w:jc w:val="both"/>
        <w:rPr>
          <w:sz w:val="22"/>
          <w:lang w:val="sr-Cyrl-RS"/>
        </w:rPr>
      </w:pPr>
      <w:r>
        <w:rPr>
          <w:sz w:val="22"/>
          <w:lang w:val="sr-Cyrl-RS"/>
        </w:rPr>
        <w:t xml:space="preserve">На основу Члана </w:t>
      </w:r>
      <w:r>
        <w:rPr>
          <w:sz w:val="22"/>
        </w:rPr>
        <w:t xml:space="preserve">44</w:t>
      </w:r>
      <w:r>
        <w:rPr>
          <w:sz w:val="22"/>
          <w:lang w:val="sr-Cyrl-RS"/>
        </w:rPr>
        <w:t xml:space="preserve">. Закона о инспекцијском надзору (Сл.гласник РС бр.36/2015)</w:t>
      </w:r>
      <w:r>
        <w:rPr>
          <w:sz w:val="22"/>
        </w:rPr>
        <w:t xml:space="preserve"> </w:t>
      </w:r>
      <w:r>
        <w:rPr>
          <w:sz w:val="22"/>
          <w:lang w:val="sr-Cyrl-RS"/>
        </w:rPr>
        <w:t xml:space="preserve">инспекција је дужна да сачини годишњи Извештај о раду инспекцијског над</w:t>
      </w:r>
      <w:r>
        <w:rPr>
          <w:sz w:val="22"/>
          <w:lang w:val="sr-Cyrl-RS"/>
        </w:rPr>
        <w:t xml:space="preserve">зора.</w:t>
      </w:r>
      <w:r/>
    </w:p>
    <w:p>
      <w:pPr>
        <w:jc w:val="center"/>
        <w:rPr>
          <w:b/>
          <w:bCs/>
          <w:sz w:val="22"/>
          <w:lang w:val="sr-Cyrl-RS"/>
        </w:rPr>
      </w:pPr>
      <w:r>
        <w:rPr>
          <w:b/>
          <w:bCs/>
          <w:sz w:val="22"/>
          <w:lang w:val="sr-Cyrl-RS"/>
        </w:rPr>
      </w:r>
      <w:r/>
    </w:p>
    <w:p>
      <w:pPr>
        <w:jc w:val="center"/>
        <w:rPr>
          <w:b/>
          <w:bCs/>
          <w:sz w:val="22"/>
          <w:lang w:val="sr-Cyrl-RS"/>
        </w:rPr>
      </w:pPr>
      <w:r>
        <w:rPr>
          <w:b/>
          <w:bCs/>
          <w:sz w:val="22"/>
          <w:lang w:val="sr-Cyrl-RS"/>
        </w:rPr>
        <w:t xml:space="preserve">ИЗВЕШТАЈ О РАДУ ИНСПЕКЦИЈЕ ЗА ЗАШТИТУ ЖИВОТНЕ СРЕДИНЕ ЗА</w:t>
      </w:r>
      <w:r/>
    </w:p>
    <w:p>
      <w:pPr>
        <w:jc w:val="center"/>
        <w:rPr>
          <w:b/>
          <w:bCs/>
          <w:sz w:val="22"/>
          <w:lang w:val="sr-Cyrl-RS"/>
        </w:rPr>
      </w:pPr>
      <w:r>
        <w:rPr>
          <w:b/>
          <w:bCs/>
          <w:sz w:val="22"/>
          <w:lang w:val="sr-Cyrl-RS"/>
        </w:rPr>
        <w:t xml:space="preserve">2019.годину</w:t>
      </w:r>
      <w:r/>
    </w:p>
    <w:p>
      <w:pPr>
        <w:jc w:val="center"/>
        <w:rPr>
          <w:b/>
          <w:sz w:val="22"/>
          <w:lang w:val="sr-Cyrl-RS"/>
        </w:rPr>
      </w:pPr>
      <w:r>
        <w:rPr>
          <w:sz w:val="22"/>
          <w:lang w:val="sr-Cyrl-RS"/>
        </w:rPr>
        <w:t xml:space="preserve"> </w:t>
      </w:r>
      <w:r/>
    </w:p>
    <w:p>
      <w:pPr>
        <w:jc w:val="center"/>
        <w:rPr>
          <w:rFonts w:cs="Times New Roman" w:eastAsia="Times New Roman"/>
          <w:b/>
        </w:rPr>
      </w:pPr>
      <w:r>
        <w:rPr>
          <w:sz w:val="22"/>
          <w:lang w:val="sr-Cyrl-RS"/>
        </w:rPr>
        <w:t xml:space="preserve">  </w:t>
      </w:r>
      <w:r>
        <w:rPr>
          <w:rFonts w:cs="Times New Roman" w:eastAsia="Times New Roman"/>
          <w:b/>
          <w:lang w:val="sr-Cyrl-RS"/>
        </w:rPr>
        <w:t xml:space="preserve">Инспекцијски надзор - </w:t>
      </w:r>
      <w:r>
        <w:rPr>
          <w:rFonts w:cs="Times New Roman" w:eastAsia="Times New Roman"/>
          <w:b/>
          <w:lang w:val="sr-Cyrl-CS"/>
        </w:rPr>
        <w:t xml:space="preserve">Законска регулатива</w:t>
      </w:r>
      <w:r/>
    </w:p>
    <w:p>
      <w:pPr>
        <w:pStyle w:val="252"/>
        <w:ind w:left="0" w:hanging="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CS"/>
        </w:rPr>
        <w:t xml:space="preserve">Правни основ за обављање послова инспекције за заштиту животне средине садржан је</w:t>
      </w:r>
      <w:r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sr-Cyrl-CS"/>
        </w:rPr>
        <w:t xml:space="preserve">у прописима: 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заштити животне средине (''Службени гласник Републике Србије'', бр. 135/04, 36/09, 36/09-др.закон, 72/09-др.закон и 43/11-одлука УС)</w:t>
      </w:r>
      <w:r>
        <w:rPr>
          <w:sz w:val="22"/>
          <w:szCs w:val="22"/>
          <w:lang w:val="en-US"/>
        </w:rPr>
        <w:t xml:space="preserve">, </w:t>
      </w:r>
      <w:r>
        <w:rPr>
          <w:sz w:val="22"/>
          <w:szCs w:val="22"/>
          <w:lang w:val="sr-Cyrl-RS"/>
        </w:rPr>
        <w:t xml:space="preserve">14/16</w:t>
      </w:r>
      <w:r>
        <w:rPr>
          <w:sz w:val="22"/>
          <w:szCs w:val="22"/>
          <w:lang w:val="en-US"/>
        </w:rPr>
        <w:t xml:space="preserve">,</w:t>
      </w:r>
      <w:r>
        <w:rPr>
          <w:sz w:val="22"/>
          <w:szCs w:val="22"/>
          <w:lang w:val="sr-Cyrl-RS"/>
        </w:rPr>
        <w:t xml:space="preserve">76/18</w:t>
      </w:r>
      <w:r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sr-Cyrl-RS"/>
        </w:rPr>
        <w:t xml:space="preserve">и </w:t>
      </w:r>
      <w:r>
        <w:rPr>
          <w:b/>
          <w:sz w:val="22"/>
          <w:szCs w:val="22"/>
          <w:lang w:val="sr-Cyrl-RS"/>
        </w:rPr>
        <w:t xml:space="preserve">95/18-др.закон).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заштити од буке у животној средини (“Службени гласник Републике Србије”, бр. 36/09 и 88/10);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заштити ваздуха (“Службени гласник Републике Србије”, број 36/09 и 10/13);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управљању отпадом (“Службени гласник Републике Србије”, бр. 3</w:t>
      </w:r>
      <w:r>
        <w:rPr>
          <w:sz w:val="22"/>
          <w:szCs w:val="22"/>
          <w:lang w:val="sr-Cyrl-RS"/>
        </w:rPr>
        <w:t xml:space="preserve">6/09 и 88/10) и 14/16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амбалажи  и  амбалажном отпаду (“Службени гласник Републике Србије”, број 36/09);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заштити од нејонизујућих зрачења (“Службени гласник Републике Србије”, број 36/09);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заштити природе (''Службени глaсник Репуб</w:t>
      </w:r>
      <w:r>
        <w:rPr>
          <w:sz w:val="22"/>
          <w:szCs w:val="22"/>
          <w:lang w:val="sr-Cyrl-RS"/>
        </w:rPr>
        <w:t xml:space="preserve">лике Србије”, бр. 36/09, 88/10 и 91/10-испр.)</w:t>
      </w:r>
      <w:r>
        <w:rPr>
          <w:sz w:val="22"/>
          <w:szCs w:val="22"/>
          <w:lang w:val="en-US"/>
        </w:rPr>
        <w:t xml:space="preserve">,</w:t>
      </w:r>
      <w:r>
        <w:rPr>
          <w:sz w:val="22"/>
          <w:szCs w:val="22"/>
          <w:lang w:val="sr-Cyrl-RS"/>
        </w:rPr>
        <w:t xml:space="preserve"> 14/16</w:t>
      </w:r>
      <w:r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sr-Cyrl-RS"/>
        </w:rPr>
        <w:t xml:space="preserve">и </w:t>
      </w:r>
      <w:r>
        <w:rPr>
          <w:b/>
          <w:sz w:val="22"/>
          <w:szCs w:val="22"/>
          <w:lang w:val="sr-Cyrl-RS"/>
        </w:rPr>
        <w:t xml:space="preserve">95/18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 о хемикалијама (''Службени глaсник Републике Србије”, бр. 36/09, 88/10, 92/11</w:t>
      </w:r>
      <w:r>
        <w:rPr>
          <w:sz w:val="22"/>
          <w:szCs w:val="22"/>
          <w:lang w:val="en-US"/>
        </w:rPr>
        <w:t xml:space="preserve">,</w:t>
      </w:r>
      <w:r>
        <w:rPr>
          <w:sz w:val="22"/>
          <w:szCs w:val="22"/>
          <w:lang w:val="sr-Cyrl-RS"/>
        </w:rPr>
        <w:t xml:space="preserve"> 93/12 и 25/15);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процени утицаја на животну средину (“Службени гласник Републике Србије”, бр.135/04 и </w:t>
      </w:r>
      <w:r>
        <w:rPr>
          <w:sz w:val="22"/>
          <w:szCs w:val="22"/>
          <w:lang w:val="sr-Cyrl-RS"/>
        </w:rPr>
        <w:t xml:space="preserve">36/09);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интегрисаном спречавању и контроли загађивања животне средине (“Службени гласник Републике Србије”, број 135/04 и 25/15);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енергетици („Сл.гласник Р.Србије“,бр.57/11, 80/11-испр, 93/12, 124/12 и 145/14)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CS"/>
        </w:rPr>
        <w:t xml:space="preserve">Закона о инспекцијском надзо</w:t>
      </w:r>
      <w:r>
        <w:rPr>
          <w:sz w:val="22"/>
          <w:szCs w:val="22"/>
          <w:lang w:val="sr-Cyrl-CS"/>
        </w:rPr>
        <w:t xml:space="preserve">ру („Службени гласник РС“број 36/15 и </w:t>
      </w:r>
      <w:r>
        <w:rPr>
          <w:b/>
          <w:sz w:val="22"/>
          <w:szCs w:val="22"/>
          <w:lang w:val="sr-Cyrl-CS"/>
        </w:rPr>
        <w:t xml:space="preserve">44/18-др.закон</w:t>
      </w:r>
      <w:r>
        <w:rPr>
          <w:sz w:val="22"/>
          <w:szCs w:val="22"/>
          <w:lang w:val="sr-Cyrl-CS"/>
        </w:rPr>
        <w:t xml:space="preserve">)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CS"/>
        </w:rPr>
        <w:t xml:space="preserve">Закона о општем управном поступку ( „Службени гласник РС“ бр.18/2016)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Закону о државној управи (“Службени гласник Републике Србије“, бр. 79/05, 101/07, 95/10, 99/14,</w:t>
      </w:r>
      <w:r>
        <w:rPr>
          <w:b/>
          <w:sz w:val="22"/>
          <w:szCs w:val="22"/>
          <w:lang w:val="sr-Cyrl-RS"/>
        </w:rPr>
        <w:t xml:space="preserve">30/18-др.закон и 47/18);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 о прекршајима (“Службени гласник Републике Србије“, бр. 65/13);</w:t>
      </w:r>
      <w:r>
        <w:rPr>
          <w:sz w:val="22"/>
          <w:szCs w:val="22"/>
          <w:lang w:val="en-US"/>
        </w:rPr>
        <w:t xml:space="preserve">13/16 </w:t>
      </w:r>
      <w:r>
        <w:rPr>
          <w:sz w:val="22"/>
          <w:szCs w:val="22"/>
          <w:lang w:val="sr-Cyrl-RS"/>
        </w:rPr>
        <w:t xml:space="preserve">и 98/16-одлука УС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Закон о привредним преступима ( "Службени лист Социјалистичке Федеративне Републике Југославије", бр. 4/77, 36/77 - испр., 14/85, 10/86 (пречишћен текст), 74/87, 5</w:t>
      </w:r>
      <w:r>
        <w:rPr>
          <w:sz w:val="22"/>
          <w:szCs w:val="22"/>
          <w:lang w:val="sr-Cyrl-RS"/>
        </w:rPr>
        <w:t xml:space="preserve">7/89 i 3/90 i "Службени лист СРЈ", бр. 27/92, 16/93, 31/93, 41/93, 50/93, 24/94, 28/96 i 64/2001 и "Службени гласник Републике Србије", бр. 101/2005 </w:t>
      </w:r>
      <w:r>
        <w:rPr>
          <w:sz w:val="22"/>
          <w:szCs w:val="22"/>
          <w:lang w:val="sr-Cyrl-RS"/>
        </w:rPr>
        <w:noBreakHyphen/>
        <w:t xml:space="preserve"> др.закон);</w:t>
      </w:r>
      <w:r/>
    </w:p>
    <w:p>
      <w:pPr>
        <w:pStyle w:val="208"/>
        <w:numPr>
          <w:ilvl w:val="0"/>
          <w:numId w:val="4"/>
        </w:numPr>
        <w:jc w:val="both"/>
        <w:spacing w:after="200"/>
        <w:rPr>
          <w:lang w:val="sr-Cyrl-RS"/>
        </w:rPr>
      </w:pPr>
      <w:r>
        <w:rPr>
          <w:sz w:val="22"/>
          <w:lang w:val="sr-Cyrl-RS"/>
        </w:rPr>
        <w:t xml:space="preserve">Правилник о сагласности за складиштење и снабдевање нафтом,дериватима нафте и биогоривима за с</w:t>
      </w:r>
      <w:r>
        <w:rPr>
          <w:sz w:val="22"/>
          <w:lang w:val="sr-Cyrl-RS"/>
        </w:rPr>
        <w:t xml:space="preserve">опствене потребе („Сл.гласник Р.Србије“,бр.1</w:t>
      </w:r>
      <w:r>
        <w:rPr>
          <w:sz w:val="22"/>
          <w:lang w:val="sr-Latn-RS"/>
        </w:rPr>
        <w:t xml:space="preserve">2</w:t>
      </w:r>
      <w:r>
        <w:rPr>
          <w:sz w:val="22"/>
          <w:lang w:val="sr-Cyrl-RS"/>
        </w:rPr>
        <w:t xml:space="preserve">/1</w:t>
      </w:r>
      <w:r>
        <w:rPr>
          <w:sz w:val="22"/>
          <w:lang w:val="sr-Latn-RS"/>
        </w:rPr>
        <w:t xml:space="preserve">6</w:t>
      </w:r>
      <w:r>
        <w:rPr>
          <w:sz w:val="22"/>
          <w:lang w:val="sr-Cyrl-RS"/>
        </w:rPr>
        <w:t xml:space="preserve"> и 44/18-др.закон)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Правилник о лиценци за обављање енергетске делатности и сертификацији („Сл.гласник Р.Србије“,бр.87/15) и других важећих Правилника, Уредби и Директива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Oдлуци o грaдским упрaвaмa Грaдa Нoвoг</w:t>
      </w:r>
      <w:r>
        <w:rPr>
          <w:sz w:val="22"/>
          <w:szCs w:val="22"/>
          <w:lang w:val="sr-Cyrl-RS"/>
        </w:rPr>
        <w:t xml:space="preserve"> Сaдa("Службени лист Грaдa Нoвoг Сaдa", бр. 52/08, 55/09, 11/10, 39/10, 60/10 и 69/13).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CS"/>
        </w:rPr>
        <w:t xml:space="preserve">Одлу</w:t>
      </w:r>
      <w:r>
        <w:rPr>
          <w:sz w:val="22"/>
          <w:szCs w:val="22"/>
          <w:lang w:val="sr-Cyrl-RS"/>
        </w:rPr>
        <w:t xml:space="preserve">ци</w:t>
      </w:r>
      <w:r>
        <w:rPr>
          <w:sz w:val="22"/>
          <w:szCs w:val="22"/>
          <w:lang w:val="sr-Cyrl-CS"/>
        </w:rPr>
        <w:t xml:space="preserve"> о одређивању акустичких  зона на територији Града Новог Сада</w:t>
      </w:r>
      <w:r>
        <w:rPr>
          <w:sz w:val="22"/>
          <w:szCs w:val="22"/>
          <w:lang w:val="sr-Cyrl-RS"/>
        </w:rPr>
        <w:t xml:space="preserve"> („Службени лист Града Новог Сада“ број 54/15 и </w:t>
      </w:r>
      <w:r>
        <w:rPr>
          <w:sz w:val="22"/>
          <w:szCs w:val="22"/>
          <w:lang w:val="en-US"/>
        </w:rPr>
        <w:t xml:space="preserve">32/17</w:t>
      </w:r>
      <w:r>
        <w:rPr>
          <w:sz w:val="22"/>
          <w:szCs w:val="22"/>
          <w:lang w:val="sr-Cyrl-RS"/>
        </w:rPr>
        <w:t xml:space="preserve">)</w:t>
      </w:r>
      <w:r/>
    </w:p>
    <w:p>
      <w:pPr>
        <w:pStyle w:val="252"/>
        <w:numPr>
          <w:ilvl w:val="0"/>
          <w:numId w:val="4"/>
        </w:numPr>
        <w:spacing w:lineRule="auto" w:line="240"/>
        <w:tabs>
          <w:tab w:val="left" w:pos="720" w:leader="none"/>
        </w:tabs>
        <w:rPr>
          <w:lang w:val="sr-Cyrl-RS"/>
        </w:rPr>
      </w:pPr>
      <w:r>
        <w:rPr>
          <w:sz w:val="22"/>
          <w:szCs w:val="22"/>
          <w:lang w:val="sr-Cyrl-RS"/>
        </w:rPr>
        <w:t xml:space="preserve">Одлукци о мерама за заштиту пољопривредног зем</w:t>
      </w:r>
      <w:r>
        <w:rPr>
          <w:sz w:val="22"/>
          <w:szCs w:val="22"/>
          <w:lang w:val="sr-Cyrl-RS"/>
        </w:rPr>
        <w:t xml:space="preserve">љишта на територији Града Новог Сада („Сл.лист Града Новог Сада“,бр.63/2015 и 47/2016)</w:t>
      </w:r>
      <w:r/>
    </w:p>
    <w:p>
      <w:pPr>
        <w:rPr>
          <w:rFonts w:cs="Times New Roman" w:eastAsia="Times New Roman"/>
          <w:lang w:val="sr-Cyrl-RS"/>
        </w:rPr>
      </w:pPr>
      <w:r>
        <w:rPr>
          <w:rFonts w:cs="Times New Roman" w:eastAsia="Times New Roman"/>
          <w:lang w:val="sr-Cyrl-RS"/>
        </w:rPr>
      </w:r>
      <w:r/>
    </w:p>
    <w:p>
      <w:pPr>
        <w:jc w:val="center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/>
          <w:lang w:val="sr-Cyrl-RS"/>
        </w:rPr>
        <w:t xml:space="preserve">Надлежности</w:t>
      </w:r>
      <w:r/>
    </w:p>
    <w:p>
      <w:pPr>
        <w:pStyle w:val="253"/>
        <w:ind w:right="283" w:hanging="0"/>
        <w:jc w:val="both"/>
        <w:rPr>
          <w:rFonts w:ascii="Times New Roman" w:hAnsi="Times New Roman"/>
          <w:lang w:val="sr-Cyrl-RS"/>
        </w:rPr>
      </w:pPr>
      <w:r>
        <w:rPr>
          <w:rFonts w:ascii="Times New Roman" w:hAnsi="Times New Roman"/>
          <w:sz w:val="22"/>
          <w:szCs w:val="22"/>
          <w:lang w:val="sr-Cyrl-RS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У складу са овлашћенима из наведених Закона и прописа у оквиру своје </w:t>
      </w:r>
      <w:r>
        <w:rPr>
          <w:rFonts w:ascii="Times New Roman" w:hAnsi="Times New Roman"/>
          <w:b/>
          <w:sz w:val="22"/>
          <w:szCs w:val="22"/>
        </w:rPr>
        <w:t xml:space="preserve">стварне и месне</w:t>
      </w:r>
      <w:r>
        <w:rPr>
          <w:rFonts w:ascii="Times New Roman" w:hAnsi="Times New Roman"/>
          <w:sz w:val="22"/>
          <w:szCs w:val="22"/>
        </w:rPr>
        <w:t xml:space="preserve"> надлежности, градском инспектору  за заштиту животне средине  </w:t>
      </w:r>
      <w:r>
        <w:rPr>
          <w:rFonts w:ascii="Times New Roman" w:hAnsi="Times New Roman"/>
          <w:b/>
          <w:sz w:val="22"/>
          <w:szCs w:val="22"/>
        </w:rPr>
        <w:t xml:space="preserve">је повер</w:t>
      </w:r>
      <w:r>
        <w:rPr>
          <w:rFonts w:ascii="Times New Roman" w:hAnsi="Times New Roman"/>
          <w:b/>
          <w:sz w:val="22"/>
          <w:szCs w:val="22"/>
        </w:rPr>
        <w:t xml:space="preserve">ено </w:t>
      </w:r>
      <w:r>
        <w:rPr>
          <w:rFonts w:ascii="Times New Roman" w:hAnsi="Times New Roman"/>
          <w:sz w:val="22"/>
          <w:szCs w:val="22"/>
        </w:rPr>
        <w:t xml:space="preserve">вршење инспекцијског надзора у области :</w:t>
      </w:r>
      <w:r/>
    </w:p>
    <w:p>
      <w:pPr>
        <w:pStyle w:val="253"/>
        <w:ind w:right="283" w:hanging="0"/>
        <w:jc w:val="both"/>
        <w:rPr>
          <w:rFonts w:ascii="Times New Roman" w:hAnsi="Times New Roman"/>
          <w:lang w:val="sr-Cyrl-RS"/>
        </w:rPr>
      </w:pPr>
      <w:r>
        <w:rPr>
          <w:rFonts w:ascii="Times New Roman" w:hAnsi="Times New Roman"/>
          <w:lang w:val="sr-Cyrl-RS"/>
        </w:rPr>
      </w:r>
      <w:r/>
    </w:p>
    <w:p>
      <w:pPr>
        <w:pStyle w:val="208"/>
        <w:numPr>
          <w:ilvl w:val="0"/>
          <w:numId w:val="5"/>
        </w:numPr>
        <w:ind w:right="283"/>
        <w:jc w:val="both"/>
        <w:rPr>
          <w:lang w:val="sr-Cyrl-CS"/>
        </w:rPr>
      </w:pPr>
      <w:r>
        <w:rPr>
          <w:sz w:val="22"/>
          <w:lang w:val="sr-Cyrl-CS"/>
        </w:rPr>
        <w:t xml:space="preserve">заштите животне средине од буке и загађења ваздуха у објектима за које надлежни орган  јединице локалне самоуправе издаје одобрење  за градњу, односно употребну дозволу . </w:t>
      </w:r>
      <w:r/>
    </w:p>
    <w:p>
      <w:pPr>
        <w:pStyle w:val="208"/>
        <w:numPr>
          <w:ilvl w:val="0"/>
          <w:numId w:val="5"/>
        </w:numPr>
        <w:ind w:right="283"/>
        <w:jc w:val="both"/>
        <w:rPr>
          <w:lang w:val="sr-Cyrl-CS"/>
        </w:rPr>
      </w:pPr>
      <w:r>
        <w:rPr>
          <w:sz w:val="22"/>
          <w:lang w:val="sr-Cyrl-CS"/>
        </w:rPr>
        <w:t xml:space="preserve">поступање по захтевима привредних субјеката за </w:t>
      </w:r>
      <w:r>
        <w:rPr>
          <w:sz w:val="22"/>
          <w:lang w:val="sr-Cyrl-RS"/>
        </w:rPr>
        <w:t xml:space="preserve">ванредни инспекцијски преглед</w:t>
      </w:r>
      <w:r>
        <w:rPr>
          <w:sz w:val="22"/>
          <w:lang w:val="sr-Cyrl-CS"/>
        </w:rPr>
        <w:t xml:space="preserve"> о испуњености услова у погледу заштите животне средине </w:t>
      </w:r>
      <w:r/>
    </w:p>
    <w:p>
      <w:pPr>
        <w:pStyle w:val="208"/>
        <w:numPr>
          <w:ilvl w:val="0"/>
          <w:numId w:val="5"/>
        </w:numPr>
        <w:ind w:right="283"/>
        <w:jc w:val="both"/>
        <w:spacing w:lineRule="auto" w:line="276" w:after="200"/>
        <w:rPr>
          <w:lang w:val="sr-Cyrl-CS"/>
        </w:rPr>
      </w:pPr>
      <w:r>
        <w:rPr>
          <w:sz w:val="22"/>
          <w:lang w:val="sr-Cyrl-CS"/>
        </w:rPr>
        <w:t xml:space="preserve">поступање по захтевима енергетских субјеката за доношење извештаја о испуњености услова у погледу заштите животне средине, </w:t>
      </w:r>
      <w:r>
        <w:rPr>
          <w:sz w:val="22"/>
          <w:lang w:val="sr-Cyrl-CS"/>
        </w:rPr>
        <w:t xml:space="preserve">за обављање енергетске делатности </w:t>
      </w:r>
      <w:r>
        <w:rPr>
          <w:sz w:val="22"/>
          <w:lang w:val="sr-Cyrl-CS"/>
        </w:rPr>
        <w:noBreakHyphen/>
        <w:t xml:space="preserve"> трговина на мало нафтом и нафтним дериватима,као и за сопствене потребе </w:t>
      </w:r>
      <w:r/>
    </w:p>
    <w:p>
      <w:pPr>
        <w:pStyle w:val="208"/>
        <w:numPr>
          <w:ilvl w:val="0"/>
          <w:numId w:val="5"/>
        </w:numPr>
        <w:ind w:right="283"/>
        <w:jc w:val="both"/>
        <w:spacing w:lineRule="auto" w:line="276" w:after="200"/>
        <w:rPr>
          <w:lang w:val="sr-Cyrl-CS"/>
        </w:rPr>
      </w:pPr>
      <w:r>
        <w:rPr>
          <w:sz w:val="22"/>
          <w:lang w:val="sr-Cyrl-CS"/>
        </w:rPr>
        <w:t xml:space="preserve">спровођења мера заштите животне средине дефинисане студијом о процени  утицаја, налагање подношења захтева за одлучивање о потреби израде студије, налаже израду студије о процени утицаја и прибављање интегрисане дозволе за сва постројења и активности за ко</w:t>
      </w:r>
      <w:r>
        <w:rPr>
          <w:sz w:val="22"/>
          <w:lang w:val="sr-Cyrl-CS"/>
        </w:rPr>
        <w:t xml:space="preserve">је одобрење за изградњу и почетак рада издаје надлежни орган локалне самоуправе, а која се налазе на листи пројеката Уредбе о потреби процене утицаја и Уредбе о врстама активности и постројења за које се издаје интегрисана дозвола ,</w:t>
      </w:r>
      <w:r/>
    </w:p>
    <w:p>
      <w:pPr>
        <w:pStyle w:val="208"/>
        <w:numPr>
          <w:ilvl w:val="0"/>
          <w:numId w:val="5"/>
        </w:numPr>
        <w:ind w:right="283"/>
        <w:jc w:val="both"/>
        <w:spacing w:lineRule="auto" w:line="276" w:after="200"/>
        <w:rPr>
          <w:sz w:val="22"/>
          <w:lang w:val="sr-Cyrl-CS"/>
        </w:rPr>
      </w:pPr>
      <w:r>
        <w:rPr>
          <w:sz w:val="22"/>
          <w:lang w:val="sr-Cyrl-RS"/>
        </w:rPr>
        <w:t xml:space="preserve">надзор над произвођачим</w:t>
      </w:r>
      <w:r>
        <w:rPr>
          <w:sz w:val="22"/>
          <w:lang w:val="sr-Cyrl-RS"/>
        </w:rPr>
        <w:t xml:space="preserve">а неопасног отпада,</w:t>
      </w:r>
      <w:r/>
    </w:p>
    <w:p>
      <w:pPr>
        <w:pStyle w:val="208"/>
        <w:numPr>
          <w:ilvl w:val="0"/>
          <w:numId w:val="5"/>
        </w:numPr>
        <w:ind w:right="283"/>
        <w:jc w:val="both"/>
        <w:spacing w:lineRule="auto" w:line="276" w:after="200"/>
        <w:rPr>
          <w:lang w:val="sr-Cyrl-CS"/>
        </w:rPr>
      </w:pPr>
      <w:r>
        <w:rPr>
          <w:sz w:val="22"/>
          <w:lang w:val="sr-Cyrl-CS"/>
        </w:rPr>
        <w:t xml:space="preserve">надзор над активностима сакупљања, привременог складиштења  и  транспорта инертног и неопасног отпада, на локацији власника отпада за које надлежни орган локалне самоуправе издаје дозволу на основу  Закона о управљању отпадом,</w:t>
      </w:r>
      <w:r/>
    </w:p>
    <w:p>
      <w:pPr>
        <w:pStyle w:val="208"/>
        <w:numPr>
          <w:ilvl w:val="0"/>
          <w:numId w:val="5"/>
        </w:numPr>
        <w:ind w:right="283"/>
        <w:jc w:val="both"/>
        <w:spacing w:lineRule="auto" w:line="276" w:after="200"/>
        <w:rPr>
          <w:lang w:val="sr-Cyrl-CS"/>
        </w:rPr>
      </w:pPr>
      <w:r>
        <w:rPr>
          <w:sz w:val="22"/>
          <w:lang w:val="sr-Cyrl-CS"/>
        </w:rPr>
        <w:t xml:space="preserve">заштите о</w:t>
      </w:r>
      <w:r>
        <w:rPr>
          <w:sz w:val="22"/>
          <w:lang w:val="sr-Cyrl-CS"/>
        </w:rPr>
        <w:t xml:space="preserve">д нејонизујућих зрачења у објектима за које одобрење  за  изградњу и почетак рада издаје надлежни орган јединице локалне самоуправе,</w:t>
      </w:r>
      <w:r/>
    </w:p>
    <w:p>
      <w:pPr>
        <w:pStyle w:val="208"/>
        <w:numPr>
          <w:ilvl w:val="0"/>
          <w:numId w:val="5"/>
        </w:numPr>
        <w:ind w:right="283"/>
        <w:jc w:val="both"/>
        <w:spacing w:lineRule="auto" w:line="276" w:after="200"/>
      </w:pPr>
      <w:r>
        <w:rPr>
          <w:sz w:val="22"/>
          <w:lang w:val="sr-Cyrl-CS"/>
        </w:rPr>
        <w:t xml:space="preserve">спровођења мера непосредне заштите,</w:t>
      </w:r>
      <w:r>
        <w:rPr>
          <w:sz w:val="22"/>
        </w:rPr>
        <w:t xml:space="preserve"> </w:t>
      </w:r>
      <w:r>
        <w:rPr>
          <w:sz w:val="22"/>
          <w:lang w:val="sr-Cyrl-CS"/>
        </w:rPr>
        <w:t xml:space="preserve">очувања и коришћења заштићених природних добара на заштићеним подручјима општине, прогл</w:t>
      </w:r>
      <w:r>
        <w:rPr>
          <w:sz w:val="22"/>
          <w:lang w:val="sr-Cyrl-CS"/>
        </w:rPr>
        <w:t xml:space="preserve">ашеним донетим актом заштите од стране надлежног органа  јединице локалне самоуправе.</w:t>
      </w:r>
      <w:r>
        <w:rPr>
          <w:b/>
          <w:sz w:val="22"/>
          <w:lang w:val="sr-Latn-RS"/>
        </w:rPr>
        <w:t xml:space="preserve">                                                                                                                      </w:t>
      </w:r>
      <w:r/>
    </w:p>
    <w:p>
      <w:pPr>
        <w:ind w:right="146"/>
        <w:jc w:val="center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Организација и структура</w:t>
      </w:r>
      <w:r/>
    </w:p>
    <w:p>
      <w:pPr>
        <w:ind w:right="146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Послове инспекције заштите </w:t>
      </w:r>
      <w:r>
        <w:rPr>
          <w:rFonts w:cs="Times New Roman"/>
          <w:lang w:val="sr-Cyrl-RS"/>
        </w:rPr>
        <w:t xml:space="preserve">животне средине је радио један извршилац.</w:t>
      </w:r>
      <w:r/>
    </w:p>
    <w:p>
      <w:pPr>
        <w:ind w:right="146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ind w:right="146"/>
        <w:jc w:val="both"/>
        <w:rPr>
          <w:rFonts w:cs="Times New Roman"/>
          <w:b/>
          <w:lang w:val="sr-Cyrl-RS"/>
        </w:rPr>
      </w:pPr>
      <w:r>
        <w:rPr>
          <w:rFonts w:cs="Times New Roman"/>
          <w:b/>
          <w:lang w:val="sr-Cyrl-RS"/>
        </w:rPr>
      </w:r>
      <w:r/>
    </w:p>
    <w:p>
      <w:pPr>
        <w:ind w:right="-126"/>
        <w:jc w:val="center"/>
        <w:tabs>
          <w:tab w:val="left" w:pos="709" w:leader="none"/>
        </w:tabs>
        <w:rPr>
          <w:rFonts w:cs="Times New Roman"/>
          <w:b/>
          <w:lang w:val="sr-Cyrl-RS"/>
        </w:rPr>
      </w:pPr>
      <w:r>
        <w:rPr>
          <w:rFonts w:cs="Times New Roman"/>
          <w:b/>
          <w:lang w:val="sr-Cyrl-RS"/>
        </w:rPr>
        <w:t xml:space="preserve">Годишњи извештај о раду инспекције обавезно садржи информације и податке са објашњењима о:</w:t>
      </w:r>
      <w:r/>
    </w:p>
    <w:p>
      <w:pPr>
        <w:ind w:right="-126"/>
        <w:jc w:val="center"/>
        <w:tabs>
          <w:tab w:val="left" w:pos="709" w:leader="none"/>
        </w:tabs>
        <w:rPr>
          <w:rFonts w:cs="Times New Roman"/>
          <w:b/>
        </w:rPr>
      </w:pPr>
      <w:r>
        <w:rPr>
          <w:rFonts w:cs="Times New Roman"/>
          <w:b/>
        </w:rPr>
      </w:r>
      <w:r/>
    </w:p>
    <w:p>
      <w:pPr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1.</w:t>
      </w:r>
      <w:r>
        <w:rPr>
          <w:rFonts w:cs="Times New Roman"/>
          <w:b/>
          <w:lang w:val="sr-Cyrl-RS"/>
        </w:rPr>
        <w:t xml:space="preserve"> броју спречених или битно умањених вероватних настанака штетних последица по законом заштитћена добра, права и интере</w:t>
      </w:r>
      <w:r>
        <w:rPr>
          <w:rFonts w:cs="Times New Roman"/>
          <w:b/>
          <w:lang w:val="sr-Cyrl-RS"/>
        </w:rPr>
        <w:t xml:space="preserve">се (превентивно деловање инспекције)</w:t>
      </w:r>
      <w:r>
        <w:rPr>
          <w:rFonts w:cs="Times New Roman"/>
          <w:b/>
        </w:rPr>
        <w:t xml:space="preserve"> </w:t>
      </w:r>
      <w:r/>
    </w:p>
    <w:p>
      <w:pPr>
        <w:jc w:val="both"/>
        <w:rPr>
          <w:lang w:val="sr-Cyrl-RS"/>
        </w:rPr>
      </w:pPr>
      <w:r>
        <w:t xml:space="preserve"> </w:t>
      </w:r>
      <w:r>
        <w:rPr>
          <w:lang w:val="sr-Cyrl-RS"/>
        </w:rPr>
        <w:t xml:space="preserve">Инспекторка је наложила записником </w:t>
      </w:r>
      <w:r>
        <w:rPr>
          <w:lang w:val="sr-Cyrl-RS"/>
        </w:rPr>
        <w:t xml:space="preserve">38 превентивних мера.</w:t>
      </w:r>
      <w:r>
        <w:rPr>
          <w:rStyle w:val="254"/>
        </w:rPr>
        <w:t xml:space="preserve"> 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jc w:val="both"/>
        <w:rPr>
          <w:rFonts w:cs="Times New Roman"/>
          <w:b/>
          <w:lang w:val="sr-Cyrl-RS"/>
        </w:rPr>
      </w:pPr>
      <w:r>
        <w:rPr>
          <w:rFonts w:cs="Times New Roman"/>
          <w:b/>
          <w:lang w:val="sr-Cyrl-RS"/>
        </w:rPr>
        <w:t xml:space="preserve">2.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lang w:val="sr-Cyrl-RS"/>
        </w:rPr>
        <w:t xml:space="preserve">обавештавању јавности,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 укључујући издавање аката о</w:t>
      </w:r>
      <w:r>
        <w:rPr>
          <w:rFonts w:cs="Times New Roman"/>
          <w:b/>
          <w:lang w:val="sr-Cyrl-RS"/>
        </w:rPr>
        <w:t xml:space="preserve"> примени прописа и службене саветодавне посете, превентивним инспекцијским надзорима и другим активностима усмереним ка подстицању и подржавању  законитости и безбедности пословања и поступања и спречавању настанка штетних последица по законом и другим  пр</w:t>
      </w:r>
      <w:r>
        <w:rPr>
          <w:rFonts w:cs="Times New Roman"/>
          <w:b/>
          <w:lang w:val="sr-Cyrl-RS"/>
        </w:rPr>
        <w:t xml:space="preserve">описом заштићена добра, права и интересе, са подацима о броју и облицима ових активности и кругу лица обухваћених тим активностима (превентивно деловање инспекције)</w:t>
      </w:r>
      <w:r>
        <w:rPr>
          <w:rFonts w:cs="Times New Roman"/>
          <w:b/>
        </w:rPr>
        <w:t xml:space="preserve"> 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Превентивно деловање инспекције остварује се правовременим информисањем јавности о инспекц</w:t>
      </w:r>
      <w:r>
        <w:rPr>
          <w:rFonts w:cs="Times New Roman"/>
          <w:lang w:val="sr-Cyrl-RS"/>
        </w:rPr>
        <w:t xml:space="preserve">ијском раду, објављивањем важећих прописа</w:t>
      </w:r>
      <w:r>
        <w:rPr>
          <w:rFonts w:cs="Times New Roman"/>
        </w:rPr>
        <w:t xml:space="preserve">.</w:t>
      </w:r>
      <w:r>
        <w:rPr>
          <w:rFonts w:cs="Times New Roman"/>
          <w:lang w:val="sr-Cyrl-RS"/>
        </w:rPr>
        <w:t xml:space="preserve"> На сајту општине </w:t>
      </w:r>
      <w:r>
        <w:rPr>
          <w:rFonts w:cs="Times New Roman"/>
          <w:lang w:val="sr-Cyrl-RS"/>
        </w:rPr>
        <w:t xml:space="preserve">Србобран</w:t>
      </w:r>
      <w:r>
        <w:rPr>
          <w:rFonts w:cs="Times New Roman"/>
          <w:lang w:val="sr-Cyrl-RS"/>
        </w:rPr>
        <w:t xml:space="preserve"> објављен је План инспекцијског</w:t>
      </w:r>
      <w:r>
        <w:rPr>
          <w:rFonts w:cs="Times New Roman"/>
          <w:lang w:val="sr-Cyrl-RS"/>
        </w:rPr>
        <w:t xml:space="preserve"> надзора</w:t>
      </w:r>
      <w:r>
        <w:rPr>
          <w:rFonts w:cs="Times New Roman"/>
          <w:lang w:val="en-US"/>
        </w:rPr>
        <w:t xml:space="preserve">, </w:t>
      </w:r>
      <w:hyperlink r:id="rId9" w:history="1">
        <w:r>
          <w:rPr>
            <w:rStyle w:val="251"/>
            <w:rFonts w:ascii="Times New Roman" w:hAnsi="Times New Roman" w:cs="Times New Roman" w:eastAsia="Times New Roman"/>
            <w:color w:val="0000EE"/>
            <w:sz w:val="24"/>
            <w:u w:val="single"/>
          </w:rPr>
          <w:t xml:space="preserve">https://urbanizam.srbobran.rs/dokumenti-urb/inspekcija/plan-rada</w:t>
        </w:r>
      </w:hyperlink>
      <w:r>
        <w:rPr>
          <w:rFonts w:cs="Times New Roman"/>
          <w:lang w:val="en-US"/>
        </w:rPr>
        <w:t xml:space="preserve"> </w:t>
      </w:r>
      <w:r>
        <w:rPr>
          <w:rFonts w:cs="Times New Roman"/>
          <w:lang w:val="sr-Cyrl-RS"/>
        </w:rPr>
        <w:t xml:space="preserve">и контролне листе</w:t>
      </w:r>
      <w:r>
        <w:rPr>
          <w:rFonts w:cs="Times New Roman"/>
          <w:lang w:val="en-US"/>
        </w:rPr>
        <w:t xml:space="preserve">, </w:t>
      </w:r>
      <w:r>
        <w:rPr>
          <w:rFonts w:cs="Times New Roman"/>
          <w:lang w:val="en-US"/>
        </w:rPr>
      </w:r>
      <w:hyperlink r:id="rId10" w:history="1">
        <w:r>
          <w:rPr>
            <w:rStyle w:val="251"/>
            <w:rFonts w:ascii="Times New Roman" w:hAnsi="Times New Roman" w:cs="Times New Roman" w:eastAsia="Times New Roman"/>
            <w:color w:val="0000EE"/>
            <w:sz w:val="24"/>
            <w:u w:val="single"/>
          </w:rPr>
          <w:t xml:space="preserve">https://urbanizam.srbobran.rs/dokumenti-urb/inspekcija/kontrole-liste/insp-zastite-ziv-sredine</w:t>
        </w:r>
      </w:hyperlink>
      <w:r>
        <w:rPr>
          <w:rFonts w:cs="Times New Roman"/>
          <w:lang w:val="en-US"/>
        </w:rPr>
        <w:t xml:space="preserve"> </w:t>
      </w:r>
      <w:r>
        <w:rPr>
          <w:rFonts w:cs="Times New Roman"/>
          <w:lang w:val="sr-Cyrl-RS"/>
        </w:rPr>
        <w:t xml:space="preserve">. 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У оквиру Информатора општине Србобран, који је такође објављен на сајту</w:t>
      </w:r>
      <w:r>
        <w:rPr>
          <w:rFonts w:cs="Times New Roman"/>
          <w:lang w:val="en-US"/>
        </w:rPr>
        <w:t xml:space="preserve"> </w:t>
      </w:r>
      <w:r>
        <w:rPr>
          <w:rFonts w:cs="Times New Roman"/>
          <w:lang w:val="sr-Cyrl-RS"/>
        </w:rPr>
        <w:t xml:space="preserve">општине</w:t>
      </w:r>
      <w:r>
        <w:rPr>
          <w:rFonts w:cs="Times New Roman"/>
          <w:lang w:val="en-US"/>
        </w:rPr>
        <w:t xml:space="preserve">, </w:t>
      </w:r>
      <w:r>
        <w:rPr>
          <w:rFonts w:cs="Times New Roman"/>
          <w:lang w:val="sr-Cyrl-RS"/>
        </w:rPr>
        <w:t xml:space="preserve"> </w:t>
      </w:r>
      <w:r>
        <w:rPr>
          <w:rFonts w:cs="Times New Roman"/>
          <w:lang w:val="sr-Cyrl-RS"/>
        </w:rPr>
      </w:r>
      <w:hyperlink r:id="rId11" w:history="1">
        <w:r>
          <w:rPr>
            <w:rStyle w:val="251"/>
            <w:rFonts w:ascii="Times New Roman" w:hAnsi="Times New Roman" w:cs="Times New Roman" w:eastAsia="Times New Roman"/>
            <w:color w:val="0000EE"/>
            <w:sz w:val="24"/>
            <w:u w:val="single"/>
          </w:rPr>
          <w:t xml:space="preserve">https://www.srbobran.rs/euprava/informator</w:t>
        </w:r>
      </w:hyperlink>
      <w:r>
        <w:rPr>
          <w:rFonts w:cs="Times New Roman"/>
          <w:lang w:val="en-US"/>
        </w:rPr>
        <w:t xml:space="preserve"> </w:t>
      </w:r>
      <w:r>
        <w:rPr>
          <w:rFonts w:cs="Times New Roman"/>
          <w:lang w:val="sr-Cyrl-RS"/>
        </w:rPr>
        <w:t xml:space="preserve">, могу се наћи надлежности инспектора заштите живо</w:t>
      </w:r>
      <w:r>
        <w:rPr>
          <w:rFonts w:cs="Times New Roman"/>
          <w:lang w:val="sr-Cyrl-RS"/>
        </w:rPr>
        <w:t xml:space="preserve">тне средине, као и законски оквир по којем се поступа.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Број превентивних инспекцијских надзора: 5</w:t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Број службених саветовавних посета: 5</w:t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Инспекција</w:t>
      </w:r>
      <w:r>
        <w:rPr>
          <w:rFonts w:cs="Times New Roman"/>
        </w:rPr>
        <w:t xml:space="preserve"> </w:t>
      </w:r>
      <w:r>
        <w:rPr>
          <w:rFonts w:cs="Times New Roman"/>
          <w:lang w:val="sr-Cyrl-RS"/>
        </w:rPr>
        <w:t xml:space="preserve">за заштиту животне средине, није имао писмених захтева од стране надзираних субјеката за превент</w:t>
      </w:r>
      <w:r>
        <w:rPr>
          <w:rFonts w:cs="Times New Roman"/>
          <w:lang w:val="sr-Cyrl-RS"/>
        </w:rPr>
        <w:t xml:space="preserve">ивно деловање, а тежиште је дао на превенцију, информисање и  пружање стручне помоћи где смо свакодневно имали телефонске позиве  или обраћање е-</w:t>
      </w:r>
      <w:r>
        <w:rPr>
          <w:rFonts w:cs="Times New Roman"/>
          <w:lang w:val="sr-Cyrl-RS"/>
        </w:rPr>
        <w:t xml:space="preserve">поштом</w:t>
      </w:r>
      <w:r>
        <w:rPr>
          <w:rFonts w:cs="Times New Roman"/>
          <w:lang w:val="sr-Cyrl-RS"/>
        </w:rPr>
        <w:t xml:space="preserve">, инспектор је одговарао телефонски, усмено, е-поштом. Најчешћа питања:</w:t>
      </w:r>
      <w:r/>
    </w:p>
    <w:p>
      <w:pPr>
        <w:pStyle w:val="208"/>
        <w:numPr>
          <w:ilvl w:val="0"/>
          <w:numId w:val="20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Шта је локални регистар загађивача и да ли имам обавезу слања података?</w:t>
      </w:r>
      <w:r>
        <w:rPr>
          <w:rFonts w:cs="Times New Roman"/>
          <w:lang w:val="sr-Cyrl-RS"/>
        </w:rPr>
      </w:r>
      <w:r/>
    </w:p>
    <w:p>
      <w:pPr>
        <w:pStyle w:val="208"/>
        <w:numPr>
          <w:ilvl w:val="0"/>
          <w:numId w:val="20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Да ли ми је потребна студија процене утицаја на животну средину и како се подноси захтев за одлучивање?</w:t>
      </w:r>
      <w:r>
        <w:rPr>
          <w:rFonts w:cs="Times New Roman"/>
          <w:lang w:val="sr-Cyrl-RS"/>
        </w:rPr>
      </w:r>
      <w:r/>
    </w:p>
    <w:p>
      <w:pPr>
        <w:pStyle w:val="208"/>
        <w:numPr>
          <w:ilvl w:val="0"/>
          <w:numId w:val="20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Како се води дневна и годишња евиденција о произведеном отпаду?</w:t>
      </w:r>
      <w:r>
        <w:rPr>
          <w:rFonts w:cs="Times New Roman"/>
          <w:lang w:val="sr-Cyrl-RS"/>
        </w:rPr>
      </w:r>
      <w:r/>
    </w:p>
    <w:p>
      <w:pPr>
        <w:pStyle w:val="208"/>
        <w:numPr>
          <w:ilvl w:val="0"/>
          <w:numId w:val="20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Како да измерим ниво буке у животној средини који производим?</w:t>
      </w:r>
      <w:r>
        <w:rPr>
          <w:rFonts w:cs="Times New Roman"/>
          <w:lang w:val="sr-Cyrl-RS"/>
        </w:rPr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</w:rPr>
      </w:pPr>
      <w:r>
        <w:rPr>
          <w:rFonts w:cs="Times New Roman"/>
          <w:b/>
          <w:lang w:val="sr-Cyrl-RS"/>
        </w:rPr>
        <w:t xml:space="preserve">3. нивоу усклађености пословања и поступања надзираних субјеката са законом и другим прописом, који се мери  помоћу контролних листи</w:t>
      </w:r>
      <w:r/>
    </w:p>
    <w:p>
      <w:pPr>
        <w:ind w:right="-126"/>
        <w:jc w:val="both"/>
        <w:tabs>
          <w:tab w:val="left" w:pos="709" w:leader="none"/>
        </w:tabs>
        <w:rPr>
          <w:sz w:val="24"/>
        </w:rPr>
      </w:pPr>
      <w:r>
        <w:rPr>
          <w:sz w:val="22"/>
          <w:lang w:val="sr-Cyrl-RS"/>
        </w:rPr>
        <w:t xml:space="preserve">Број употребљених контролних листи је </w:t>
      </w:r>
      <w:r>
        <w:rPr>
          <w:sz w:val="22"/>
          <w:lang w:val="sr-Cyrl-RS"/>
        </w:rPr>
        <w:t xml:space="preserve">50</w:t>
      </w:r>
      <w:r>
        <w:rPr>
          <w:rStyle w:val="254"/>
          <w:lang w:val="sr-Cyrl-RS"/>
        </w:rPr>
        <w:t xml:space="preserve"> </w:t>
      </w:r>
      <w:r>
        <w:rPr>
          <w:rStyle w:val="254"/>
          <w:sz w:val="24"/>
          <w:lang w:val="sr-Cyrl-RS"/>
        </w:rPr>
        <w:t xml:space="preserve">у 39 инспекцијских надзора. Приликом попуњавања контролних лсти, инспектор је дошао до закључка да су надзирани субјекти углавном ускладили своје пословање са законском регулативом из области заштите животне средине. </w:t>
      </w:r>
      <w:r>
        <w:rPr>
          <w:rStyle w:val="254"/>
          <w:lang w:val="sr-Cyrl-RS"/>
        </w:rPr>
        <w:t xml:space="preserve"> </w:t>
      </w:r>
      <w:r>
        <w:rPr>
          <w:sz w:val="24"/>
        </w:rPr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Надзрани субјекти су углавном у ниском ризику.</w:t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>
        <w:rPr>
          <w:rFonts w:cs="Times New Roman"/>
          <w:lang w:val="sr-Cyrl-RS"/>
        </w:rPr>
        <w:t xml:space="preserve">Најчешће изрицана мера су: </w:t>
      </w:r>
      <w:r/>
    </w:p>
    <w:p>
      <w:pPr>
        <w:pStyle w:val="208"/>
        <w:numPr>
          <w:ilvl w:val="0"/>
          <w:numId w:val="18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вођење ев</w:t>
      </w:r>
      <w:r>
        <w:rPr>
          <w:rFonts w:cs="Times New Roman"/>
          <w:lang w:val="sr-Cyrl-RS"/>
        </w:rPr>
        <w:t xml:space="preserve">иденције на дневном и годишњем нивоу и </w:t>
      </w:r>
      <w:r/>
    </w:p>
    <w:p>
      <w:pPr>
        <w:pStyle w:val="208"/>
        <w:numPr>
          <w:ilvl w:val="0"/>
          <w:numId w:val="18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слање података за локални регистар загађивача</w:t>
      </w:r>
      <w:r/>
    </w:p>
    <w:p>
      <w:pPr>
        <w:ind w:left="720"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4. броју откривених и отклоњених или битно умањених насталих штетних последица по законом заштитћена добра, права и интересе (корективно деловање инспекције) </w:t>
      </w:r>
      <w:r/>
    </w:p>
    <w:p>
      <w:pPr>
        <w:tabs>
          <w:tab w:val="left" w:pos="420" w:leader="none"/>
        </w:tabs>
        <w:rPr>
          <w:rFonts w:cs="Times New Roman" w:eastAsia="Times New Roman"/>
          <w:lang w:val="sr-Cyrl-RS"/>
        </w:rPr>
      </w:pPr>
      <w:r>
        <w:rPr>
          <w:lang w:val="sr-Cyrl-RS"/>
        </w:rPr>
        <w:t xml:space="preserve">Инспектор је изрицао корективне мере записником и било их је </w:t>
      </w:r>
      <w:r>
        <w:rPr>
          <w:rFonts w:cs="Times New Roman" w:eastAsia="Times New Roman"/>
          <w:lang w:val="sr-Cyrl-RS"/>
        </w:rPr>
        <w:t xml:space="preserve">10</w:t>
      </w:r>
      <w:r>
        <w:rPr>
          <w:rStyle w:val="254"/>
          <w:lang w:val="sr-Cyrl-RS"/>
        </w:rPr>
        <w:t xml:space="preserve">.</w:t>
      </w:r>
      <w:r/>
    </w:p>
    <w:p>
      <w:pPr>
        <w:tabs>
          <w:tab w:val="left" w:pos="420" w:leader="none"/>
        </w:tabs>
        <w:rPr>
          <w:rFonts w:cs="Times New Roman" w:eastAsia="Times New Roman"/>
        </w:rPr>
      </w:pPr>
      <w:r>
        <w:rPr>
          <w:rFonts w:cs="Times New Roman" w:eastAsia="Times New Roman"/>
        </w:rPr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</w:rPr>
      </w:pPr>
      <w:r>
        <w:rPr>
          <w:rFonts w:cs="Times New Roman"/>
          <w:b/>
          <w:lang w:val="sr-Cyrl-RS"/>
        </w:rPr>
        <w:t xml:space="preserve">5. бро</w:t>
      </w:r>
      <w:r>
        <w:rPr>
          <w:rFonts w:cs="Times New Roman"/>
          <w:b/>
          <w:lang w:val="sr-Cyrl-RS"/>
        </w:rPr>
        <w:t xml:space="preserve">ју утврђених нерегистрованих  субјеката и мерама спроведеним према њима</w:t>
      </w:r>
      <w:r/>
    </w:p>
    <w:p>
      <w:pPr>
        <w:ind w:right="-126"/>
        <w:jc w:val="both"/>
        <w:tabs>
          <w:tab w:val="left" w:pos="709" w:leader="none"/>
        </w:tabs>
      </w:pPr>
      <w:r>
        <w:rPr>
          <w:sz w:val="22"/>
          <w:lang w:val="sr-Cyrl-RS"/>
        </w:rPr>
        <w:t xml:space="preserve">У инспекцијском надзору није утврђено је да</w:t>
      </w:r>
      <w:r>
        <w:rPr>
          <w:b/>
          <w:sz w:val="22"/>
          <w:lang w:val="sr-Cyrl-RS"/>
        </w:rPr>
        <w:t xml:space="preserve"> субјекти нису регистровани</w:t>
      </w:r>
      <w:r>
        <w:rPr>
          <w:sz w:val="22"/>
          <w:lang w:val="sr-Cyrl-RS"/>
        </w:rPr>
        <w:t xml:space="preserve">. </w:t>
      </w:r>
      <w:r/>
    </w:p>
    <w:p>
      <w:pPr>
        <w:ind w:left="1425" w:right="-126"/>
        <w:jc w:val="both"/>
        <w:tabs>
          <w:tab w:val="left" w:pos="709" w:leader="none"/>
        </w:tabs>
        <w:rPr>
          <w:lang w:val="sr-Cyrl-RS"/>
        </w:rPr>
      </w:pPr>
      <w:r>
        <w:rPr>
          <w:lang w:val="sr-Cyrl-RS"/>
        </w:rPr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  <w:b/>
          <w:lang w:val="sr-Cyrl-RS"/>
        </w:rPr>
      </w:pPr>
      <w:r>
        <w:rPr>
          <w:rFonts w:cs="Times New Roman"/>
          <w:b/>
          <w:lang w:val="sr-Cyrl-RS"/>
        </w:rPr>
        <w:t xml:space="preserve">6. мерама предузетим ради уједначавања праксе инспекцијског надзора и њиховом дејству</w:t>
      </w:r>
      <w:r/>
    </w:p>
    <w:p>
      <w:pPr>
        <w:pStyle w:val="208"/>
        <w:numPr>
          <w:ilvl w:val="0"/>
          <w:numId w:val="14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редовне консултације са </w:t>
      </w:r>
      <w:r>
        <w:rPr>
          <w:rFonts w:cs="Times New Roman"/>
          <w:lang w:val="sr-Cyrl-RS"/>
        </w:rPr>
        <w:t xml:space="preserve">колегама из локалних самоуправа</w:t>
      </w:r>
      <w:r/>
    </w:p>
    <w:p>
      <w:pPr>
        <w:pStyle w:val="208"/>
        <w:numPr>
          <w:ilvl w:val="0"/>
          <w:numId w:val="14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редовне консултације са републичким нспектором</w:t>
      </w:r>
      <w:r/>
    </w:p>
    <w:p>
      <w:pPr>
        <w:pStyle w:val="208"/>
        <w:numPr>
          <w:ilvl w:val="0"/>
          <w:numId w:val="14"/>
        </w:numPr>
        <w:ind w:right="-126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редовно посећивање семинара и стручних скупова</w:t>
      </w:r>
      <w:r/>
    </w:p>
    <w:p>
      <w:pPr>
        <w:ind w:right="-126"/>
        <w:jc w:val="both"/>
        <w:tabs>
          <w:tab w:val="left" w:pos="709" w:leader="none"/>
        </w:tabs>
        <w:rPr>
          <w:rFonts w:cs="Times New Roman"/>
        </w:rPr>
      </w:pPr>
      <w:r>
        <w:rPr>
          <w:rFonts w:cs="Times New Roman"/>
          <w:b/>
          <w:lang w:val="sr-Cyrl-RS"/>
        </w:rPr>
        <w:t xml:space="preserve">7. остварењу плана и ваљаности планирања инспекцијског надзора</w:t>
      </w:r>
      <w:r>
        <w:rPr>
          <w:rFonts w:cs="Times New Roman"/>
          <w:b/>
          <w:lang w:val="sr-Cyrl-RS"/>
        </w:rPr>
        <w:t xml:space="preserve">, нарочито о односу редовних и ванредних инспекцијских надзора, броју редовних инспекцијских надзора који нису извршени и разлозима за то, као и о броју допунских налога за инспекцијски надзор </w:t>
      </w:r>
      <w:r/>
    </w:p>
    <w:p>
      <w:pPr>
        <w:ind w:right="-126" w:firstLine="709"/>
        <w:jc w:val="both"/>
        <w:tabs>
          <w:tab w:val="left" w:pos="709" w:leader="none"/>
        </w:tabs>
        <w:rPr>
          <w:b/>
          <w:sz w:val="22"/>
          <w:lang w:val="sr-Cyrl-RS"/>
        </w:rPr>
      </w:pPr>
      <w:r>
        <w:rPr>
          <w:b/>
          <w:sz w:val="22"/>
          <w:lang w:val="sr-Cyrl-RS"/>
        </w:rPr>
      </w:r>
      <w:r/>
    </w:p>
    <w:p>
      <w:pPr>
        <w:jc w:val="center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/>
          <w:bCs/>
          <w:lang w:val="sr-Cyrl-RS"/>
        </w:rPr>
        <w:t xml:space="preserve">Укупан број предмета у извештајном периоду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У извештајном пери</w:t>
      </w:r>
      <w:r>
        <w:rPr>
          <w:rFonts w:cs="Times New Roman" w:eastAsia="Times New Roman"/>
          <w:bCs/>
          <w:lang w:val="sr-Cyrl-RS"/>
        </w:rPr>
        <w:t xml:space="preserve">оду  </w:t>
      </w:r>
      <w:r>
        <w:rPr>
          <w:rFonts w:cs="Times New Roman" w:eastAsia="Times New Roman"/>
          <w:b/>
          <w:bCs/>
          <w:lang w:val="sr-Cyrl-RS"/>
        </w:rPr>
        <w:t xml:space="preserve">у раду је било 39 предмета</w:t>
      </w:r>
      <w:r>
        <w:rPr>
          <w:rFonts w:cs="Times New Roman" w:eastAsia="Times New Roman"/>
          <w:bCs/>
          <w:lang w:val="sr-Cyrl-RS"/>
        </w:rPr>
        <w:t xml:space="preserve"> од тога: редовних 27, а ванредних 12. 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У оквиру редовног надзора, инспектор 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је користио контролне листе и вршио надзор по областима: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отпад: 22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ваздух: 13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нејонизујуће зрачење: 1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бука: 12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природа: 2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студија о процени утицаја на животну средину је контролисана приликом сваког редовног надзора.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Број планираних инспекцијски надзори који нису извршени је 34, од тога 31 нредован надзор није извршен због тога што је план рађен на основу предлога плана комун</w:t>
      </w:r>
      <w:r>
        <w:rPr>
          <w:rFonts w:cs="Times New Roman" w:eastAsia="Times New Roman"/>
          <w:bCs/>
          <w:lang w:val="sr-Cyrl-RS"/>
        </w:rPr>
        <w:t xml:space="preserve">алног инспектора и инспектора заштите животне средине, а не на основу искуства из предходних надзора и процене ризика. Нису постојали податци. А 3 надзора нису урађена, јер надзирани субјекти више не постоје.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2 редовна инспекцијска надзора су додатно урађе</w:t>
      </w:r>
      <w:r>
        <w:rPr>
          <w:rFonts w:cs="Times New Roman" w:eastAsia="Times New Roman"/>
          <w:bCs/>
          <w:lang w:val="sr-Cyrl-RS"/>
        </w:rPr>
        <w:t xml:space="preserve">на, јер су се појавили нови надзирани субјекти код којих је процењен критичан и средњи ризик.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bCs/>
          <w:lang w:val="sr-Cyrl-RS"/>
        </w:rPr>
        <w:t xml:space="preserve">Бр. допунских налога: 1</w:t>
      </w:r>
      <w:r/>
    </w:p>
    <w:p>
      <w:pPr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8. Ниво кординације инспекцијског надзора са инспекцијским надзором кога врше друге инспекције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Заједнички надзор (1+1) обављен са грађеви</w:t>
      </w:r>
      <w:r>
        <w:rPr>
          <w:rFonts w:cs="Times New Roman"/>
          <w:lang w:val="sr-Cyrl-RS"/>
        </w:rPr>
        <w:t xml:space="preserve">нским и комуналним инспектором.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Сарадња са водопривредном покрајинском инспекцијом и покрајинском инспекцијом заштите животне средине у случају загађења Криваје и Великог бачког канала.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Имали смо потешкоћа приликом пријаве и прослеђивања надлежности, нису </w:t>
      </w:r>
      <w:r>
        <w:rPr>
          <w:rFonts w:cs="Times New Roman"/>
          <w:lang w:val="sr-Cyrl-RS"/>
        </w:rPr>
        <w:t xml:space="preserve">се сваки пут одазивали и излазили на терен. Такође немамо никакву повратну информацију шта је урађено приликом изласка на терен покрајинских инспекција.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9. материјалним, техничким и кадровским ресурсима које је инспекција користила у вршењу инспекцијског надзора и мерама предузетим у циљу делотворне употребе ресурса инспекције и резултатима предузетих мера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Дејан Андрић до 24.01.2019.год у склопу комуналне </w:t>
      </w:r>
      <w:r>
        <w:rPr>
          <w:rFonts w:cs="Times New Roman"/>
          <w:lang w:val="sr-Cyrl-RS"/>
        </w:rPr>
        <w:t xml:space="preserve">и саобраћајне инспекције радио и инспекцију заштите животне средине.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Љиљана Белић почела да ради 25.01.2019. године искључиво као инспектор </w:t>
      </w:r>
      <w:r>
        <w:rPr>
          <w:rFonts w:cs="Times New Roman"/>
          <w:lang w:val="sr-Cyrl-RS"/>
        </w:rPr>
        <w:t xml:space="preserve">заштите животне средине.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Материјални и технички ресурси: компјутер, фото апарат, паметни телефон, штампач, аутомобил</w:t>
      </w:r>
      <w:r>
        <w:rPr>
          <w:rFonts w:cs="Times New Roman"/>
          <w:lang w:val="sr-Cyrl-RS"/>
        </w:rPr>
        <w:t xml:space="preserve">, плата + прековремени сати.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Инспекција издвојена у једну пространу канцеларију.</w:t>
      </w:r>
      <w:r/>
    </w:p>
    <w:p>
      <w:pPr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10. придржавању рокова прописаних за поступање инспекције</w:t>
      </w:r>
      <w:r/>
    </w:p>
    <w:p>
      <w:pPr>
        <w:ind w:right="283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У свим предметима инспектор се придржавао рокова.</w:t>
      </w:r>
      <w:r/>
    </w:p>
    <w:p>
      <w:pPr>
        <w:ind w:right="283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Једен предмет за заједнички инспекцијски надзор (комунални и зашти</w:t>
      </w:r>
      <w:r>
        <w:rPr>
          <w:rFonts w:cs="Times New Roman"/>
          <w:lang w:val="sr-Cyrl-RS"/>
        </w:rPr>
        <w:t xml:space="preserve">та) није решен у року због лошег социјалног стања странке - укључен центар за социјални рад.</w:t>
      </w:r>
      <w:r/>
    </w:p>
    <w:p>
      <w:pPr>
        <w:ind w:right="283"/>
        <w:jc w:val="both"/>
        <w:tabs>
          <w:tab w:val="left" w:pos="709" w:leader="none"/>
        </w:tabs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11. законитости управних аката донетих у инспекцијском надзору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lang w:val="sr-Cyrl-RS"/>
        </w:rPr>
        <w:t xml:space="preserve">(број другостепених поступака, њихов исход, број покренутих управних спорова и њихов исход</w:t>
      </w:r>
      <w:r/>
    </w:p>
    <w:p>
      <w:p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lang w:val="sr-Cyrl-RS"/>
        </w:rPr>
        <w:t xml:space="preserve">Сви пред</w:t>
      </w:r>
      <w:r>
        <w:rPr>
          <w:rFonts w:cs="Times New Roman" w:eastAsia="Times New Roman"/>
          <w:lang w:val="sr-Cyrl-RS"/>
        </w:rPr>
        <w:t xml:space="preserve">мети су решени првостепеним поступком.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12. поступању у решавању притужби на рад инспекције, са исходима тог поступања, уз посебно истицање броја поднетих притужби и области рада на које су се односиле.</w:t>
      </w:r>
      <w:r/>
    </w:p>
    <w:p>
      <w:pPr>
        <w:pStyle w:val="209"/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lang w:val="sr-Cyrl-RS"/>
        </w:rPr>
        <w:t xml:space="preserve">Једна притужба на рад инспекторке, предмет притужбе: </w:t>
      </w:r>
      <w:r>
        <w:rPr>
          <w:rFonts w:cs="Times New Roman" w:eastAsia="Times New Roman"/>
          <w:lang w:val="sr-Cyrl-RS"/>
        </w:rPr>
        <w:t xml:space="preserve">на показивање легитимације довољно јасно, без обавештења и налога. Одговор начелнице: притужба је неоснована, јер се радило о сумњи да је у питању нерегистровани </w:t>
      </w:r>
      <w:r>
        <w:rPr>
          <w:rFonts w:cs="Times New Roman" w:eastAsia="Times New Roman"/>
          <w:lang w:val="sr-Cyrl-RS"/>
        </w:rPr>
        <w:t xml:space="preserve">субјекат</w:t>
      </w:r>
      <w:r>
        <w:rPr>
          <w:rFonts w:cs="Times New Roman" w:eastAsia="Times New Roman"/>
          <w:lang w:val="sr-Cyrl-RS"/>
        </w:rPr>
        <w:t xml:space="preserve">.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13. обукама и другим облицима стручног усавршавања инспектора, са бројем  тих обука</w:t>
      </w:r>
      <w:r>
        <w:rPr>
          <w:rFonts w:cs="Times New Roman"/>
          <w:b/>
          <w:lang w:val="sr-Cyrl-RS"/>
        </w:rPr>
        <w:t xml:space="preserve"> и и других облика стручног усавршавања  и бројем инспектора</w:t>
      </w:r>
      <w:r/>
    </w:p>
    <w:p>
      <w:pPr>
        <w:pStyle w:val="208"/>
        <w:numPr>
          <w:ilvl w:val="0"/>
          <w:numId w:val="8"/>
        </w:numPr>
        <w:jc w:val="both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lang w:val="sr-Cyrl-RS"/>
        </w:rPr>
        <w:t xml:space="preserve">Закон о инспекцијском надзору - примена у јединици самоуправе, Београд, у оквиру Пројекта пореза на имовину Шведске Владе</w:t>
      </w:r>
      <w:r/>
    </w:p>
    <w:p>
      <w:pPr>
        <w:pStyle w:val="208"/>
        <w:numPr>
          <w:ilvl w:val="0"/>
          <w:numId w:val="8"/>
        </w:numPr>
        <w:jc w:val="both"/>
        <w:rPr>
          <w:rFonts w:cs="Times New Roman" w:eastAsia="Times New Roman"/>
        </w:rPr>
      </w:pPr>
      <w:r>
        <w:rPr>
          <w:rFonts w:cs="Times New Roman" w:eastAsia="Times New Roman"/>
          <w:lang w:val="sr-Cyrl-RS"/>
        </w:rPr>
        <w:t xml:space="preserve">Ка ефикаснијим инспекциојама, Београд, НАЛЕД</w:t>
      </w:r>
      <w:r/>
    </w:p>
    <w:p>
      <w:pPr>
        <w:pStyle w:val="208"/>
        <w:numPr>
          <w:ilvl w:val="0"/>
          <w:numId w:val="8"/>
        </w:numPr>
        <w:jc w:val="both"/>
        <w:rPr>
          <w:rFonts w:cs="Times New Roman" w:eastAsia="Times New Roman"/>
        </w:rPr>
      </w:pPr>
      <w:r>
        <w:rPr>
          <w:rFonts w:cs="Times New Roman" w:eastAsia="Times New Roman"/>
          <w:lang w:val="sr-Cyrl-RS"/>
        </w:rPr>
        <w:t xml:space="preserve">Годишњи план рада, Нови Сад, Министарство ЗЖС</w:t>
      </w:r>
      <w:r/>
    </w:p>
    <w:p>
      <w:pPr>
        <w:pStyle w:val="208"/>
        <w:numPr>
          <w:ilvl w:val="0"/>
          <w:numId w:val="8"/>
        </w:numPr>
        <w:jc w:val="both"/>
        <w:rPr>
          <w:rFonts w:cs="Times New Roman" w:eastAsia="Times New Roman"/>
          <w:lang w:val="sr-Cyrl-CS"/>
        </w:rPr>
      </w:pPr>
      <w:r>
        <w:rPr>
          <w:rFonts w:cs="Times New Roman" w:eastAsia="Times New Roman"/>
        </w:rPr>
        <w:t xml:space="preserve">IV </w:t>
      </w:r>
      <w:r>
        <w:rPr>
          <w:rFonts w:cs="Times New Roman" w:eastAsia="Times New Roman"/>
          <w:lang w:val="sr-Cyrl-RS"/>
        </w:rPr>
        <w:t xml:space="preserve">дани инспекцијских служби, Копаоник, Едукације БИЗКОН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14. иницијативама за измене и допуне закона и других прописа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Нисмо имали.</w:t>
      </w:r>
      <w:r/>
    </w:p>
    <w:p>
      <w:pPr>
        <w:pStyle w:val="209"/>
        <w:ind w:firstLine="720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15. мерама и проверама предузетим у циљу потпуности и ажурности података у информационом систему</w:t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У оквиру Општинске управе Србобран постоји електронска писарница.</w:t>
      </w:r>
      <w:r/>
    </w:p>
    <w:p>
      <w:pPr>
        <w:pStyle w:val="209"/>
        <w:ind w:firstLine="720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pStyle w:val="209"/>
        <w:jc w:val="both"/>
        <w:rPr>
          <w:rFonts w:cs="Times New Roman"/>
          <w:lang w:val="sr-Cyrl-RS"/>
        </w:rPr>
      </w:pPr>
      <w:r>
        <w:rPr>
          <w:rFonts w:cs="Times New Roman"/>
          <w:b/>
          <w:lang w:val="sr-Cyrl-RS"/>
        </w:rPr>
        <w:t xml:space="preserve">17. исходима поступка правосудних органа по захтевима за покретање прекршајног поступка, пријавама за привредни преступ и кривичним пријавама које је поднела инспекција.</w:t>
      </w:r>
      <w:r/>
    </w:p>
    <w:p>
      <w:pPr>
        <w:ind w:right="713"/>
        <w:jc w:val="both"/>
        <w:spacing w:lineRule="auto" w:line="360"/>
        <w:rPr>
          <w:rFonts w:cs="Times New Roman" w:eastAsia="Times New Roman"/>
          <w:lang w:val="sr-Cyrl-RS"/>
        </w:rPr>
      </w:pPr>
      <w:r>
        <w:rPr>
          <w:rFonts w:cs="Times New Roman" w:eastAsia="Times New Roman"/>
          <w:lang w:val="sr-Cyrl-RS"/>
        </w:rPr>
        <w:t xml:space="preserve">Нисмо имали.</w:t>
      </w:r>
      <w:r>
        <w:rPr>
          <w:rFonts w:cs="Times New Roman"/>
        </w:rPr>
        <w:t xml:space="preserve">                 </w:t>
      </w:r>
      <w:r>
        <w:rPr>
          <w:rFonts w:cs="Times New Roman"/>
        </w:rPr>
        <w:t xml:space="preserve">                                    </w:t>
      </w:r>
      <w:r>
        <w:rPr>
          <w:rFonts w:cs="Times New Roman"/>
          <w:lang w:val="sr-Cyrl-RS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cs="Times New Roman"/>
          <w:lang w:val="sr-Cyrl-RS"/>
        </w:rPr>
        <w:t xml:space="preserve">                                                     </w:t>
      </w:r>
      <w:r/>
    </w:p>
    <w:p>
      <w:pPr>
        <w:contextualSpacing w:val="true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извештај урадила:</w:t>
      </w:r>
      <w:r/>
    </w:p>
    <w:p>
      <w:pPr>
        <w:contextualSpacing w:val="true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Љиљана Белић, инспекторка ЗЖС</w:t>
      </w:r>
      <w:r/>
    </w:p>
    <w:p>
      <w:pPr>
        <w:contextualSpacing w:val="true"/>
        <w:jc w:val="both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мастер хемије - заштита животне средине                                                                                                                   </w:t>
      </w:r>
      <w:r>
        <w:rPr>
          <w:rFonts w:cs="Times New Roman"/>
          <w:lang w:val="sr-Cyrl-RS"/>
        </w:rPr>
        <w:t xml:space="preserve">                     </w:t>
      </w:r>
      <w:r/>
    </w:p>
    <w:p>
      <w:pPr>
        <w:rPr>
          <w:rFonts w:cs="Times New Roman"/>
          <w:lang w:val="sr-Cyrl-RS"/>
        </w:rPr>
      </w:pPr>
      <w:r>
        <w:rPr>
          <w:rFonts w:cs="Times New Roman"/>
          <w:lang w:val="sr-Cyrl-RS"/>
        </w:rPr>
      </w:r>
      <w:r/>
    </w:p>
    <w:p>
      <w:pPr>
        <w:jc w:val="center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Србобран, 27.02.2020. год.</w:t>
      </w:r>
      <w:r/>
    </w:p>
    <w:p>
      <w:pPr>
        <w:jc w:val="center"/>
        <w:rPr>
          <w:rFonts w:cs="Times New Roman"/>
          <w:lang w:val="sr-Cyrl-RS"/>
        </w:rPr>
      </w:pPr>
      <w:r>
        <w:rPr>
          <w:rFonts w:cs="Times New Roman"/>
          <w:lang w:val="sr-Cyrl-RS"/>
        </w:rPr>
        <w:t xml:space="preserve">Исправљено: 05.03.2020.</w:t>
      </w:r>
      <w:r>
        <w:rPr>
          <w:rFonts w:cs="Times New Roman"/>
          <w:lang w:val="sr-Cyrl-RS"/>
        </w:rPr>
      </w:r>
      <w:r/>
    </w:p>
    <w:p>
      <w:pPr>
        <w:jc w:val="both"/>
        <w:rPr>
          <w:sz w:val="22"/>
          <w:lang w:val="sr-Cyrl-RS"/>
        </w:rPr>
      </w:pPr>
      <w:r>
        <w:rPr>
          <w:sz w:val="22"/>
          <w:lang w:val="sr-Cyrl-RS"/>
        </w:rPr>
      </w:r>
      <w:r/>
    </w:p>
    <w:p>
      <w:pPr>
        <w:jc w:val="both"/>
        <w:rPr>
          <w:lang w:val="sr-Cyrl-RS"/>
        </w:rPr>
      </w:pPr>
      <w:r/>
      <w:bookmarkStart w:id="8" w:name="_GoBack"/>
      <w:r/>
      <w:bookmarkEnd w:id="8"/>
      <w:r/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p>
      <w:pPr>
        <w:jc w:val="both"/>
        <w:rPr>
          <w:lang w:val="sr-Cyrl-RS"/>
        </w:rPr>
      </w:pPr>
      <w:r>
        <w:rPr>
          <w:lang w:val="sr-Cyrl-RS"/>
        </w:rPr>
      </w:r>
      <w:r/>
    </w:p>
    <w:sectPr>
      <w:footnotePr/>
      <w:type w:val="nextPage"/>
      <w:pgSz w:w="11906" w:h="16838"/>
      <w:pgMar w:top="1440" w:right="1800" w:bottom="1440" w:left="1800" w:gutter="0" w:header="720" w:footer="720"/>
      <w:cols w:num="1" w:sep="0" w:space="720" w:equalWidth="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</w:font>
  <w:font w:name="Wingdings">
    <w:panose1 w:val="05000000000000000000"/>
  </w:font>
  <w:font w:name="Courier New">
    <w:panose1 w:val="02070309020205020404"/>
  </w:font>
  <w:font w:name="Segoe UI">
    <w:panose1 w:val="020B0502040204020203"/>
  </w:font>
  <w:font w:name="Arial Narrow">
    <w:panose1 w:val="020B0604020202020204"/>
  </w:font>
  <w:font w:name="Arial">
    <w:panose1 w:val="020B0604020202020204"/>
  </w:font>
  <w:font w:name="Times New Roman">
    <w:panose1 w:val="020206030504050203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footnote w:type="separator" w:id="-1">
    <w:p>
      <w:r>
        <w:separator/>
      </w:r>
      <w:r/>
    </w:p>
  </w:footnote>
  <w:footnote w:type="continuationSeparator" w:id="0">
    <w:p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multiLevelType w:val="hybridMultilevel"/>
    <w:lvl w:ilvl="0">
      <w:start w:val="1"/>
      <w:numFmt w:val="bullet"/>
      <w:suff w:val="tab"/>
      <w:lvlText w:val="-"/>
      <w:lvlJc w:val="left"/>
      <w:pPr>
        <w:ind w:left="1069" w:hanging="355"/>
      </w:pPr>
      <w:rPr>
        <w:rFonts w:ascii="Times New Roman" w:hAnsi="Times New Roman" w:cs="Times New Roman" w:eastAsia="Calibri" w:hint="default"/>
      </w:rPr>
    </w:lvl>
    <w:lvl w:ilvl="1">
      <w:start w:val="1"/>
      <w:numFmt w:val="bullet"/>
      <w:suff w:val="tab"/>
      <w:lvlText w:val="o"/>
      <w:lvlJc w:val="left"/>
      <w:pPr>
        <w:ind w:left="1789" w:hanging="355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509" w:hanging="355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3229" w:hanging="355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3949" w:hanging="355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4669" w:hanging="355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389" w:hanging="355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6109" w:hanging="355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6829" w:hanging="355"/>
      </w:pPr>
      <w:rPr>
        <w:rFonts w:ascii="Wingdings" w:hAnsi="Wingdings" w:hint="default"/>
      </w:rPr>
    </w:lvl>
  </w:abstractNum>
  <w:abstractNum w:abstractNumId="1">
    <w:multiLevelType w:val="hybridMultilevel"/>
    <w:lvl w:ilvl="0">
      <w:start w:val="1"/>
      <w:numFmt w:val="bullet"/>
      <w:suff w:val="tab"/>
      <w:lvlText w:val=""/>
      <w:lvlJc w:val="left"/>
      <w:pPr>
        <w:ind w:left="720" w:hanging="348"/>
      </w:pPr>
      <w:rPr>
        <w:rFonts w:ascii="Symbol" w:hAnsi="Symbol" w:hint="default"/>
      </w:rPr>
    </w:lvl>
    <w:lvl w:ilvl="1">
      <w:start w:val="1"/>
      <w:numFmt w:val="bullet"/>
      <w:suff w:val="tab"/>
      <w:lvlText w:val="o"/>
      <w:lvlJc w:val="left"/>
      <w:pPr>
        <w:ind w:left="1440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160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2880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3600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4320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040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5760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6480" w:hanging="348"/>
      </w:pPr>
      <w:rPr>
        <w:rFonts w:ascii="Wingdings" w:hAnsi="Wingdings" w:hint="default"/>
      </w:rPr>
    </w:lvl>
  </w:abstractNum>
  <w:abstractNum w:abstractNumId="2">
    <w:multiLevelType w:val="hybridMultilevel"/>
    <w:lvl w:ilvl="0">
      <w:start w:val="1"/>
      <w:numFmt w:val="bullet"/>
      <w:suff w:val="tab"/>
      <w:lvlText w:val=""/>
      <w:lvlJc w:val="left"/>
      <w:pPr>
        <w:ind w:left="420" w:hanging="409"/>
        <w:tabs>
          <w:tab w:val="left" w:pos="420" w:leader="none"/>
        </w:tabs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1440" w:hanging="349"/>
      </w:pPr>
      <w:rPr>
        <w:rFonts w:ascii="Courier New" w:hAnsi="Courier New" w:cs="Courier New" w:eastAsia="Courier New" w:hint="default"/>
      </w:rPr>
    </w:lvl>
    <w:lvl w:ilvl="2">
      <w:start w:val="1"/>
      <w:numFmt w:val="bullet"/>
      <w:suff w:val="tab"/>
      <w:lvlText w:val="§"/>
      <w:lvlJc w:val="left"/>
      <w:pPr>
        <w:ind w:left="2160" w:hanging="349"/>
      </w:pPr>
      <w:rPr>
        <w:rFonts w:ascii="Wingdings" w:hAnsi="Wingdings" w:cs="Wingdings" w:eastAsia="Wingdings" w:hint="default"/>
      </w:rPr>
    </w:lvl>
    <w:lvl w:ilvl="3">
      <w:start w:val="1"/>
      <w:numFmt w:val="bullet"/>
      <w:suff w:val="tab"/>
      <w:lvlText w:val="·"/>
      <w:lvlJc w:val="left"/>
      <w:pPr>
        <w:ind w:left="2880" w:hanging="349"/>
      </w:pPr>
      <w:rPr>
        <w:rFonts w:ascii="Symbol" w:hAnsi="Symbol" w:cs="Symbol" w:eastAsia="Symbol" w:hint="default"/>
      </w:rPr>
    </w:lvl>
    <w:lvl w:ilvl="4">
      <w:start w:val="1"/>
      <w:numFmt w:val="bullet"/>
      <w:suff w:val="tab"/>
      <w:lvlText w:val="o"/>
      <w:lvlJc w:val="left"/>
      <w:pPr>
        <w:ind w:left="3600" w:hanging="349"/>
      </w:pPr>
      <w:rPr>
        <w:rFonts w:ascii="Courier New" w:hAnsi="Courier New" w:cs="Courier New" w:eastAsia="Courier New" w:hint="default"/>
      </w:rPr>
    </w:lvl>
    <w:lvl w:ilvl="5">
      <w:start w:val="1"/>
      <w:numFmt w:val="bullet"/>
      <w:suff w:val="tab"/>
      <w:lvlText w:val="§"/>
      <w:lvlJc w:val="left"/>
      <w:pPr>
        <w:ind w:left="4320" w:hanging="349"/>
      </w:pPr>
      <w:rPr>
        <w:rFonts w:ascii="Wingdings" w:hAnsi="Wingdings" w:cs="Wingdings" w:eastAsia="Wingdings" w:hint="default"/>
      </w:rPr>
    </w:lvl>
    <w:lvl w:ilvl="6">
      <w:start w:val="1"/>
      <w:numFmt w:val="bullet"/>
      <w:suff w:val="tab"/>
      <w:lvlText w:val="·"/>
      <w:lvlJc w:val="left"/>
      <w:pPr>
        <w:ind w:left="5040" w:hanging="349"/>
      </w:pPr>
      <w:rPr>
        <w:rFonts w:ascii="Symbol" w:hAnsi="Symbol" w:cs="Symbol" w:eastAsia="Symbol" w:hint="default"/>
      </w:rPr>
    </w:lvl>
    <w:lvl w:ilvl="7">
      <w:start w:val="1"/>
      <w:numFmt w:val="bullet"/>
      <w:suff w:val="tab"/>
      <w:lvlText w:val="o"/>
      <w:lvlJc w:val="left"/>
      <w:pPr>
        <w:ind w:left="5760" w:hanging="349"/>
      </w:pPr>
      <w:rPr>
        <w:rFonts w:ascii="Courier New" w:hAnsi="Courier New" w:cs="Courier New" w:eastAsia="Courier New" w:hint="default"/>
      </w:rPr>
    </w:lvl>
    <w:lvl w:ilvl="8">
      <w:start w:val="1"/>
      <w:numFmt w:val="bullet"/>
      <w:suff w:val="tab"/>
      <w:lvlText w:val="§"/>
      <w:lvlJc w:val="left"/>
      <w:pPr>
        <w:ind w:left="6480" w:hanging="349"/>
      </w:pPr>
      <w:rPr>
        <w:rFonts w:ascii="Wingdings" w:hAnsi="Wingdings" w:cs="Wingdings" w:eastAsia="Wingdings" w:hint="default"/>
      </w:rPr>
    </w:lvl>
  </w:abstractNum>
  <w:abstractNum w:abstractNumId="3">
    <w:multiLevelType w:val="hybridMultilevel"/>
    <w:lvl w:ilvl="0">
      <w:start w:val="1"/>
      <w:numFmt w:val="bullet"/>
      <w:suff w:val="tab"/>
      <w:lvlText w:val=""/>
      <w:lvlJc w:val="left"/>
      <w:pPr>
        <w:ind w:left="1287" w:hanging="348"/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2007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727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3447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4167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4887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607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6327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7047" w:hanging="348"/>
      </w:pPr>
      <w:rPr>
        <w:rFonts w:ascii="Wingdings" w:hAnsi="Wingdings" w:hint="default"/>
      </w:rPr>
    </w:lvl>
  </w:abstractNum>
  <w:abstractNum w:abstractNumId="4">
    <w:multiLevelType w:val="hybridMultilevel"/>
    <w:lvl w:ilvl="0">
      <w:start w:val="1"/>
      <w:numFmt w:val="bullet"/>
      <w:suff w:val="tab"/>
      <w:lvlText w:val=""/>
      <w:lvlJc w:val="left"/>
      <w:pPr>
        <w:ind w:left="720" w:hanging="348"/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1440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160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2880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3600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4320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040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5760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6480" w:hanging="348"/>
      </w:pPr>
      <w:rPr>
        <w:rFonts w:ascii="Wingdings" w:hAnsi="Wingdings" w:hint="default"/>
      </w:rPr>
    </w:lvl>
  </w:abstractNum>
  <w:abstractNum w:abstractNumId="5">
    <w:multiLevelType w:val="hybridMultilevel"/>
    <w:lvl w:ilvl="0">
      <w:start w:val="1"/>
      <w:numFmt w:val="bullet"/>
      <w:suff w:val="tab"/>
      <w:lvlText w:val="·"/>
      <w:lvlJc w:val="left"/>
      <w:pPr>
        <w:ind w:left="1440" w:hanging="349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2160" w:hanging="349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880" w:hanging="349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3600" w:hanging="349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4320" w:hanging="349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5040" w:hanging="349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760" w:hanging="349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6480" w:hanging="349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7200" w:hanging="349"/>
      </w:pPr>
      <w:rPr>
        <w:rFonts w:ascii="Wingdings" w:hAnsi="Wingdings" w:cs="Wingdings" w:eastAsia="Wingdings"/>
      </w:rPr>
    </w:lvl>
  </w:abstractNum>
  <w:abstractNum w:abstractNumId="6">
    <w:multiLevelType w:val="hybridMultilevel"/>
    <w:lvl w:ilvl="0">
      <w:start w:val="1"/>
      <w:numFmt w:val="bullet"/>
      <w:suff w:val="tab"/>
      <w:lvlText w:val=""/>
      <w:lvlJc w:val="left"/>
      <w:pPr>
        <w:ind w:left="1440" w:hanging="348"/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2160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880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3600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4320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5040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760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6480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7200" w:hanging="348"/>
      </w:pPr>
      <w:rPr>
        <w:rFonts w:ascii="Wingdings" w:hAnsi="Wingdings" w:hint="default"/>
      </w:rPr>
    </w:lvl>
  </w:abstractNum>
  <w:abstractNum w:abstractNumId="7">
    <w:multiLevelType w:val="hybridMultilevel"/>
    <w:lvl w:ilvl="0">
      <w:start w:val="1"/>
      <w:numFmt w:val="bullet"/>
      <w:suff w:val="tab"/>
      <w:lvlText w:val="·"/>
      <w:lvlJc w:val="left"/>
      <w:pPr>
        <w:ind w:left="720" w:hanging="352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52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52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52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52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52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52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52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52"/>
      </w:pPr>
      <w:rPr>
        <w:rFonts w:ascii="Wingdings" w:hAnsi="Wingdings" w:cs="Wingdings" w:eastAsia="Wingdings"/>
      </w:rPr>
    </w:lvl>
  </w:abstractNum>
  <w:abstractNum w:abstractNumId="8">
    <w:multiLevelType w:val="hybridMultilevel"/>
    <w:lvl w:ilvl="0">
      <w:start w:val="1"/>
      <w:numFmt w:val="bullet"/>
      <w:suff w:val="tab"/>
      <w:lvlText w:val=""/>
      <w:lvlJc w:val="left"/>
      <w:pPr>
        <w:ind w:left="420" w:hanging="408"/>
        <w:tabs>
          <w:tab w:val="left" w:pos="420" w:leader="none"/>
        </w:tabs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1440" w:hanging="348"/>
      </w:pPr>
      <w:rPr>
        <w:rFonts w:ascii="Courier New" w:hAnsi="Courier New" w:cs="Courier New" w:eastAsia="Courier New" w:hint="default"/>
      </w:rPr>
    </w:lvl>
    <w:lvl w:ilvl="2">
      <w:start w:val="1"/>
      <w:numFmt w:val="bullet"/>
      <w:suff w:val="tab"/>
      <w:lvlText w:val="§"/>
      <w:lvlJc w:val="left"/>
      <w:pPr>
        <w:ind w:left="2160" w:hanging="348"/>
      </w:pPr>
      <w:rPr>
        <w:rFonts w:ascii="Wingdings" w:hAnsi="Wingdings" w:cs="Wingdings" w:eastAsia="Wingdings" w:hint="default"/>
      </w:rPr>
    </w:lvl>
    <w:lvl w:ilvl="3">
      <w:start w:val="1"/>
      <w:numFmt w:val="bullet"/>
      <w:suff w:val="tab"/>
      <w:lvlText w:val="·"/>
      <w:lvlJc w:val="left"/>
      <w:pPr>
        <w:ind w:left="2880" w:hanging="348"/>
      </w:pPr>
      <w:rPr>
        <w:rFonts w:ascii="Symbol" w:hAnsi="Symbol" w:cs="Symbol" w:eastAsia="Symbol" w:hint="default"/>
      </w:rPr>
    </w:lvl>
    <w:lvl w:ilvl="4">
      <w:start w:val="1"/>
      <w:numFmt w:val="bullet"/>
      <w:suff w:val="tab"/>
      <w:lvlText w:val="o"/>
      <w:lvlJc w:val="left"/>
      <w:pPr>
        <w:ind w:left="3600" w:hanging="348"/>
      </w:pPr>
      <w:rPr>
        <w:rFonts w:ascii="Courier New" w:hAnsi="Courier New" w:cs="Courier New" w:eastAsia="Courier New" w:hint="default"/>
      </w:rPr>
    </w:lvl>
    <w:lvl w:ilvl="5">
      <w:start w:val="1"/>
      <w:numFmt w:val="bullet"/>
      <w:suff w:val="tab"/>
      <w:lvlText w:val="§"/>
      <w:lvlJc w:val="left"/>
      <w:pPr>
        <w:ind w:left="4320" w:hanging="348"/>
      </w:pPr>
      <w:rPr>
        <w:rFonts w:ascii="Wingdings" w:hAnsi="Wingdings" w:cs="Wingdings" w:eastAsia="Wingdings" w:hint="default"/>
      </w:rPr>
    </w:lvl>
    <w:lvl w:ilvl="6">
      <w:start w:val="1"/>
      <w:numFmt w:val="bullet"/>
      <w:suff w:val="tab"/>
      <w:lvlText w:val="·"/>
      <w:lvlJc w:val="left"/>
      <w:pPr>
        <w:ind w:left="5040" w:hanging="348"/>
      </w:pPr>
      <w:rPr>
        <w:rFonts w:ascii="Symbol" w:hAnsi="Symbol" w:cs="Symbol" w:eastAsia="Symbol" w:hint="default"/>
      </w:rPr>
    </w:lvl>
    <w:lvl w:ilvl="7">
      <w:start w:val="1"/>
      <w:numFmt w:val="bullet"/>
      <w:suff w:val="tab"/>
      <w:lvlText w:val="o"/>
      <w:lvlJc w:val="left"/>
      <w:pPr>
        <w:ind w:left="5760" w:hanging="348"/>
      </w:pPr>
      <w:rPr>
        <w:rFonts w:ascii="Courier New" w:hAnsi="Courier New" w:cs="Courier New" w:eastAsia="Courier New" w:hint="default"/>
      </w:rPr>
    </w:lvl>
    <w:lvl w:ilvl="8">
      <w:start w:val="1"/>
      <w:numFmt w:val="bullet"/>
      <w:suff w:val="tab"/>
      <w:lvlText w:val="§"/>
      <w:lvlJc w:val="left"/>
      <w:pPr>
        <w:ind w:left="6480" w:hanging="348"/>
      </w:pPr>
      <w:rPr>
        <w:rFonts w:ascii="Wingdings" w:hAnsi="Wingdings" w:cs="Wingdings" w:eastAsia="Wingdings" w:hint="default"/>
      </w:rPr>
    </w:lvl>
  </w:abstractNum>
  <w:abstractNum w:abstractNumId="9">
    <w:multiLevelType w:val="hybridMultilevel"/>
    <w:lvl w:ilvl="0">
      <w:start w:val="1"/>
      <w:numFmt w:val="bullet"/>
      <w:suff w:val="tab"/>
      <w:lvlText w:val="·"/>
      <w:lvlJc w:val="left"/>
      <w:pPr>
        <w:ind w:left="720" w:hanging="351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51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51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51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51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51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51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51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51"/>
      </w:pPr>
      <w:rPr>
        <w:rFonts w:ascii="Wingdings" w:hAnsi="Wingdings" w:cs="Wingdings" w:eastAsia="Wingdings"/>
      </w:rPr>
    </w:lvl>
  </w:abstractNum>
  <w:abstractNum w:abstractNumId="10">
    <w:multiLevelType w:val="hybridMultilevel"/>
    <w:lvl w:ilvl="0">
      <w:start w:val="1"/>
      <w:numFmt w:val="bullet"/>
      <w:suff w:val="tab"/>
      <w:lvlText w:val=""/>
      <w:lvlJc w:val="left"/>
      <w:pPr>
        <w:ind w:left="420" w:hanging="408"/>
        <w:tabs>
          <w:tab w:val="left" w:pos="420" w:leader="none"/>
        </w:tabs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1440" w:hanging="348"/>
      </w:pPr>
      <w:rPr>
        <w:rFonts w:ascii="Courier New" w:hAnsi="Courier New" w:cs="Courier New" w:eastAsia="Courier New" w:hint="default"/>
      </w:rPr>
    </w:lvl>
    <w:lvl w:ilvl="2">
      <w:start w:val="1"/>
      <w:numFmt w:val="bullet"/>
      <w:suff w:val="tab"/>
      <w:lvlText w:val="§"/>
      <w:lvlJc w:val="left"/>
      <w:pPr>
        <w:ind w:left="2160" w:hanging="348"/>
      </w:pPr>
      <w:rPr>
        <w:rFonts w:ascii="Wingdings" w:hAnsi="Wingdings" w:cs="Wingdings" w:eastAsia="Wingdings" w:hint="default"/>
      </w:rPr>
    </w:lvl>
    <w:lvl w:ilvl="3">
      <w:start w:val="1"/>
      <w:numFmt w:val="bullet"/>
      <w:suff w:val="tab"/>
      <w:lvlText w:val="·"/>
      <w:lvlJc w:val="left"/>
      <w:pPr>
        <w:ind w:left="2880" w:hanging="348"/>
      </w:pPr>
      <w:rPr>
        <w:rFonts w:ascii="Symbol" w:hAnsi="Symbol" w:cs="Symbol" w:eastAsia="Symbol" w:hint="default"/>
      </w:rPr>
    </w:lvl>
    <w:lvl w:ilvl="4">
      <w:start w:val="1"/>
      <w:numFmt w:val="bullet"/>
      <w:suff w:val="tab"/>
      <w:lvlText w:val="o"/>
      <w:lvlJc w:val="left"/>
      <w:pPr>
        <w:ind w:left="3600" w:hanging="348"/>
      </w:pPr>
      <w:rPr>
        <w:rFonts w:ascii="Courier New" w:hAnsi="Courier New" w:cs="Courier New" w:eastAsia="Courier New" w:hint="default"/>
      </w:rPr>
    </w:lvl>
    <w:lvl w:ilvl="5">
      <w:start w:val="1"/>
      <w:numFmt w:val="bullet"/>
      <w:suff w:val="tab"/>
      <w:lvlText w:val="§"/>
      <w:lvlJc w:val="left"/>
      <w:pPr>
        <w:ind w:left="4320" w:hanging="348"/>
      </w:pPr>
      <w:rPr>
        <w:rFonts w:ascii="Wingdings" w:hAnsi="Wingdings" w:cs="Wingdings" w:eastAsia="Wingdings" w:hint="default"/>
      </w:rPr>
    </w:lvl>
    <w:lvl w:ilvl="6">
      <w:start w:val="1"/>
      <w:numFmt w:val="bullet"/>
      <w:suff w:val="tab"/>
      <w:lvlText w:val="·"/>
      <w:lvlJc w:val="left"/>
      <w:pPr>
        <w:ind w:left="5040" w:hanging="348"/>
      </w:pPr>
      <w:rPr>
        <w:rFonts w:ascii="Symbol" w:hAnsi="Symbol" w:cs="Symbol" w:eastAsia="Symbol" w:hint="default"/>
      </w:rPr>
    </w:lvl>
    <w:lvl w:ilvl="7">
      <w:start w:val="1"/>
      <w:numFmt w:val="bullet"/>
      <w:suff w:val="tab"/>
      <w:lvlText w:val="o"/>
      <w:lvlJc w:val="left"/>
      <w:pPr>
        <w:ind w:left="5760" w:hanging="348"/>
      </w:pPr>
      <w:rPr>
        <w:rFonts w:ascii="Courier New" w:hAnsi="Courier New" w:cs="Courier New" w:eastAsia="Courier New" w:hint="default"/>
      </w:rPr>
    </w:lvl>
    <w:lvl w:ilvl="8">
      <w:start w:val="1"/>
      <w:numFmt w:val="bullet"/>
      <w:suff w:val="tab"/>
      <w:lvlText w:val="§"/>
      <w:lvlJc w:val="left"/>
      <w:pPr>
        <w:ind w:left="6480" w:hanging="348"/>
      </w:pPr>
      <w:rPr>
        <w:rFonts w:ascii="Wingdings" w:hAnsi="Wingdings" w:cs="Wingdings" w:eastAsia="Wingdings" w:hint="default"/>
      </w:rPr>
    </w:lvl>
  </w:abstractNum>
  <w:abstractNum w:abstractNumId="11">
    <w:multiLevelType w:val="hybridMultilevel"/>
    <w:lvl w:ilvl="0">
      <w:start w:val="1"/>
      <w:numFmt w:val="bullet"/>
      <w:suff w:val="tab"/>
      <w:lvlText w:val="·"/>
      <w:lvlJc w:val="left"/>
      <w:pPr>
        <w:ind w:left="720" w:hanging="349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49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49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49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49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49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49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49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49"/>
      </w:pPr>
      <w:rPr>
        <w:rFonts w:ascii="Wingdings" w:hAnsi="Wingdings" w:cs="Wingdings" w:eastAsia="Wingdings"/>
      </w:rPr>
    </w:lvl>
  </w:abstractNum>
  <w:abstractNum w:abstractNumId="12">
    <w:multiLevelType w:val="hybridMultilevel"/>
    <w:lvl w:ilvl="0">
      <w:start w:val="1"/>
      <w:numFmt w:val="bullet"/>
      <w:suff w:val="tab"/>
      <w:lvlText w:val=""/>
      <w:lvlJc w:val="left"/>
      <w:pPr>
        <w:ind w:left="1425" w:hanging="348"/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2145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865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3585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4305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5025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745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6465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7185" w:hanging="348"/>
      </w:pPr>
      <w:rPr>
        <w:rFonts w:ascii="Wingdings" w:hAnsi="Wingdings" w:hint="default"/>
      </w:rPr>
    </w:lvl>
  </w:abstractNum>
  <w:abstractNum w:abstractNumId="13">
    <w:multiLevelType w:val="hybridMultilevel"/>
    <w:lvl w:ilvl="0">
      <w:start w:val="1"/>
      <w:numFmt w:val="bullet"/>
      <w:suff w:val="tab"/>
      <w:lvlText w:val="·"/>
      <w:lvlJc w:val="left"/>
      <w:pPr>
        <w:ind w:left="720" w:hanging="351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51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51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51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51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51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51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51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51"/>
      </w:pPr>
      <w:rPr>
        <w:rFonts w:ascii="Wingdings" w:hAnsi="Wingdings" w:cs="Wingdings" w:eastAsia="Wingdings"/>
      </w:rPr>
    </w:lvl>
  </w:abstractNum>
  <w:abstractNum w:abstractNumId="14">
    <w:multiLevelType w:val="hybridMultilevel"/>
    <w:lvl w:ilvl="0">
      <w:start w:val="1"/>
      <w:numFmt w:val="bullet"/>
      <w:suff w:val="tab"/>
      <w:lvlText w:val=""/>
      <w:lvlJc w:val="left"/>
      <w:pPr>
        <w:ind w:left="1425" w:hanging="348"/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2145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865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3585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4305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5025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745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6465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7185" w:hanging="348"/>
      </w:pPr>
      <w:rPr>
        <w:rFonts w:ascii="Wingdings" w:hAnsi="Wingdings" w:hint="default"/>
      </w:rPr>
    </w:lvl>
  </w:abstractNum>
  <w:abstractNum w:abstractNumId="15">
    <w:multiLevelType w:val="hybridMultilevel"/>
    <w:lvl w:ilvl="0">
      <w:start w:val="1"/>
      <w:numFmt w:val="bullet"/>
      <w:suff w:val="tab"/>
      <w:lvlText w:val=""/>
      <w:lvlJc w:val="left"/>
      <w:pPr>
        <w:ind w:left="420" w:hanging="408"/>
        <w:tabs>
          <w:tab w:val="left" w:pos="420" w:leader="none"/>
        </w:tabs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1440" w:hanging="348"/>
      </w:pPr>
      <w:rPr>
        <w:rFonts w:ascii="Courier New" w:hAnsi="Courier New" w:cs="Courier New" w:eastAsia="Courier New" w:hint="default"/>
      </w:rPr>
    </w:lvl>
    <w:lvl w:ilvl="2">
      <w:start w:val="1"/>
      <w:numFmt w:val="bullet"/>
      <w:suff w:val="tab"/>
      <w:lvlText w:val="§"/>
      <w:lvlJc w:val="left"/>
      <w:pPr>
        <w:ind w:left="2160" w:hanging="348"/>
      </w:pPr>
      <w:rPr>
        <w:rFonts w:ascii="Wingdings" w:hAnsi="Wingdings" w:cs="Wingdings" w:eastAsia="Wingdings" w:hint="default"/>
      </w:rPr>
    </w:lvl>
    <w:lvl w:ilvl="3">
      <w:start w:val="1"/>
      <w:numFmt w:val="bullet"/>
      <w:suff w:val="tab"/>
      <w:lvlText w:val="·"/>
      <w:lvlJc w:val="left"/>
      <w:pPr>
        <w:ind w:left="2880" w:hanging="348"/>
      </w:pPr>
      <w:rPr>
        <w:rFonts w:ascii="Symbol" w:hAnsi="Symbol" w:cs="Symbol" w:eastAsia="Symbol" w:hint="default"/>
      </w:rPr>
    </w:lvl>
    <w:lvl w:ilvl="4">
      <w:start w:val="1"/>
      <w:numFmt w:val="bullet"/>
      <w:suff w:val="tab"/>
      <w:lvlText w:val="o"/>
      <w:lvlJc w:val="left"/>
      <w:pPr>
        <w:ind w:left="3600" w:hanging="348"/>
      </w:pPr>
      <w:rPr>
        <w:rFonts w:ascii="Courier New" w:hAnsi="Courier New" w:cs="Courier New" w:eastAsia="Courier New" w:hint="default"/>
      </w:rPr>
    </w:lvl>
    <w:lvl w:ilvl="5">
      <w:start w:val="1"/>
      <w:numFmt w:val="bullet"/>
      <w:suff w:val="tab"/>
      <w:lvlText w:val="§"/>
      <w:lvlJc w:val="left"/>
      <w:pPr>
        <w:ind w:left="4320" w:hanging="348"/>
      </w:pPr>
      <w:rPr>
        <w:rFonts w:ascii="Wingdings" w:hAnsi="Wingdings" w:cs="Wingdings" w:eastAsia="Wingdings" w:hint="default"/>
      </w:rPr>
    </w:lvl>
    <w:lvl w:ilvl="6">
      <w:start w:val="1"/>
      <w:numFmt w:val="bullet"/>
      <w:suff w:val="tab"/>
      <w:lvlText w:val="·"/>
      <w:lvlJc w:val="left"/>
      <w:pPr>
        <w:ind w:left="5040" w:hanging="348"/>
      </w:pPr>
      <w:rPr>
        <w:rFonts w:ascii="Symbol" w:hAnsi="Symbol" w:cs="Symbol" w:eastAsia="Symbol" w:hint="default"/>
      </w:rPr>
    </w:lvl>
    <w:lvl w:ilvl="7">
      <w:start w:val="1"/>
      <w:numFmt w:val="bullet"/>
      <w:suff w:val="tab"/>
      <w:lvlText w:val="o"/>
      <w:lvlJc w:val="left"/>
      <w:pPr>
        <w:ind w:left="5760" w:hanging="348"/>
      </w:pPr>
      <w:rPr>
        <w:rFonts w:ascii="Courier New" w:hAnsi="Courier New" w:cs="Courier New" w:eastAsia="Courier New" w:hint="default"/>
      </w:rPr>
    </w:lvl>
    <w:lvl w:ilvl="8">
      <w:start w:val="1"/>
      <w:numFmt w:val="bullet"/>
      <w:suff w:val="tab"/>
      <w:lvlText w:val="§"/>
      <w:lvlJc w:val="left"/>
      <w:pPr>
        <w:ind w:left="6480" w:hanging="348"/>
      </w:pPr>
      <w:rPr>
        <w:rFonts w:ascii="Wingdings" w:hAnsi="Wingdings" w:cs="Wingdings" w:eastAsia="Wingdings" w:hint="default"/>
      </w:rPr>
    </w:lvl>
  </w:abstractNum>
  <w:abstractNum w:abstractNumId="16">
    <w:multiLevelType w:val="hybridMultilevel"/>
    <w:lvl w:ilvl="0">
      <w:start w:val="1"/>
      <w:numFmt w:val="bullet"/>
      <w:suff w:val="tab"/>
      <w:lvlText w:val="·"/>
      <w:lvlJc w:val="left"/>
      <w:pPr>
        <w:ind w:left="720" w:hanging="349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49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49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49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49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49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49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49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49"/>
      </w:pPr>
      <w:rPr>
        <w:rFonts w:ascii="Wingdings" w:hAnsi="Wingdings" w:cs="Wingdings" w:eastAsia="Wingdings"/>
      </w:rPr>
    </w:lvl>
  </w:abstractNum>
  <w:abstractNum w:abstractNumId="17">
    <w:multiLevelType w:val="hybridMultilevel"/>
    <w:lvl w:ilvl="0">
      <w:start w:val="1"/>
      <w:numFmt w:val="bullet"/>
      <w:suff w:val="tab"/>
      <w:lvlText w:val="·"/>
      <w:lvlJc w:val="left"/>
      <w:pPr>
        <w:ind w:left="720" w:hanging="351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51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51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51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51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51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51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51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51"/>
      </w:pPr>
      <w:rPr>
        <w:rFonts w:ascii="Wingdings" w:hAnsi="Wingdings" w:cs="Wingdings" w:eastAsia="Wingdings"/>
      </w:rPr>
    </w:lvl>
  </w:abstractNum>
  <w:abstractNum w:abstractNumId="18">
    <w:multiLevelType w:val="hybridMultilevel"/>
    <w:lvl w:ilvl="0">
      <w:start w:val="1"/>
      <w:numFmt w:val="bullet"/>
      <w:suff w:val="tab"/>
      <w:lvlText w:val=""/>
      <w:lvlJc w:val="left"/>
      <w:pPr>
        <w:ind w:left="1500" w:hanging="348"/>
      </w:pPr>
      <w:rPr>
        <w:rFonts w:ascii="Wingdings" w:hAnsi="Wingdings" w:hint="default"/>
      </w:rPr>
    </w:lvl>
    <w:lvl w:ilvl="1">
      <w:start w:val="1"/>
      <w:numFmt w:val="bullet"/>
      <w:suff w:val="tab"/>
      <w:lvlText w:val="o"/>
      <w:lvlJc w:val="left"/>
      <w:pPr>
        <w:ind w:left="2220" w:hanging="348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ind w:left="2940" w:hanging="348"/>
      </w:pPr>
      <w:rPr>
        <w:rFonts w:ascii="Wingdings" w:hAnsi="Wingdings" w:hint="default"/>
      </w:rPr>
    </w:lvl>
    <w:lvl w:ilvl="3">
      <w:start w:val="1"/>
      <w:numFmt w:val="bullet"/>
      <w:suff w:val="tab"/>
      <w:lvlText w:val=""/>
      <w:lvlJc w:val="left"/>
      <w:pPr>
        <w:ind w:left="3660" w:hanging="348"/>
      </w:pPr>
      <w:rPr>
        <w:rFonts w:ascii="Symbol" w:hAnsi="Symbol" w:hint="default"/>
      </w:rPr>
    </w:lvl>
    <w:lvl w:ilvl="4">
      <w:start w:val="1"/>
      <w:numFmt w:val="bullet"/>
      <w:suff w:val="tab"/>
      <w:lvlText w:val="o"/>
      <w:lvlJc w:val="left"/>
      <w:pPr>
        <w:ind w:left="4380" w:hanging="348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ind w:left="5100" w:hanging="348"/>
      </w:pPr>
      <w:rPr>
        <w:rFonts w:ascii="Wingdings" w:hAnsi="Wingdings" w:hint="default"/>
      </w:rPr>
    </w:lvl>
    <w:lvl w:ilvl="6">
      <w:start w:val="1"/>
      <w:numFmt w:val="bullet"/>
      <w:suff w:val="tab"/>
      <w:lvlText w:val=""/>
      <w:lvlJc w:val="left"/>
      <w:pPr>
        <w:ind w:left="5820" w:hanging="348"/>
      </w:pPr>
      <w:rPr>
        <w:rFonts w:ascii="Symbol" w:hAnsi="Symbol" w:hint="default"/>
      </w:rPr>
    </w:lvl>
    <w:lvl w:ilvl="7">
      <w:start w:val="1"/>
      <w:numFmt w:val="bullet"/>
      <w:suff w:val="tab"/>
      <w:lvlText w:val="o"/>
      <w:lvlJc w:val="left"/>
      <w:pPr>
        <w:ind w:left="6540" w:hanging="348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ind w:left="7260" w:hanging="348"/>
      </w:pPr>
      <w:rPr>
        <w:rFonts w:ascii="Wingdings" w:hAnsi="Wingdings" w:hint="default"/>
      </w:rPr>
    </w:lvl>
  </w:abstractNum>
  <w:abstractNum w:abstractNumId="19">
    <w:multiLevelType w:val="hybridMultilevel"/>
    <w:lvl w:ilvl="0">
      <w:start w:val="1"/>
      <w:numFmt w:val="bullet"/>
      <w:suff w:val="tab"/>
      <w:lvlText w:val="·"/>
      <w:lvlJc w:val="left"/>
      <w:pPr>
        <w:ind w:left="720" w:hanging="356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56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56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56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56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56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56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56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56"/>
      </w:pPr>
      <w:rPr>
        <w:rFonts w:ascii="Wingdings" w:hAnsi="Wingdings" w:cs="Wingdings" w:eastAsia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</w:numbering>
</file>

<file path=word/settings.xml><?xml version="1.0" encoding="utf-8"?>
<w:settings xmlns:w="http://schemas.openxmlformats.org/wordprocessingml/2006/main" xmlns:m="http://schemas.openxmlformats.org/officeDocument/2006/math" xmlns:o="urn:schemas-microsoft-com:office:office" xmlns:v="urn:schemas-microsoft-com:vml">
  <w:clrSchemeMapping w:accent1="accent1" w:accent2="accent2" w:accent3="accent3" w:accent4="accent4" w:accent5="accent5" w:accent6="accent6" w:bg1="light1" w:bg2="light2" w:followedHyperlink="followedHyperlink" w:hyperlink="hyperlink" w:t1="dark1" w:t2="dark2"/>
  <w:defaultTabStop w:val="420"/>
  <m:mathPr>
    <m:brkBin m:val="before"/>
    <m:defJc m:val="centerGroup"/>
    <m:intLim m:val="subSup"/>
    <m:lMargin m:val="0"/>
    <m:mathFont m:val="Cambria Math"/>
    <m:naryLim m:val="undOvr"/>
    <m:rMargin m:val="0"/>
    <m:smallFrac m:val="false"/>
    <m:wrapIndent m:val="1440"/>
  </m:mathPr>
  <w:trackRevisions w:val="false"/>
  <w:footnotePr>
    <w:footnote w:id="-1"/>
    <w:footnote w:id="0"/>
    <w:numFmt w:val="decimal"/>
    <w:numRestart w:val="continuous"/>
    <w:numStart w:val="1"/>
    <w:pos w:val="pageBottom"/>
  </w:footnotePr>
  <w:zoom w:percent="10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cs="Calibri" w:eastAsia="Calibri" w:hint="default"/>
        <w:color w:val="auto"/>
        <w:spacing w:val="0"/>
        <w:position w:val="0"/>
        <w:sz w:val="20"/>
        <w:szCs w:val="22"/>
        <w:lang w:val="en-US" w:bidi="en-US" w:eastAsia="en-US"/>
      </w:rPr>
    </w:rPrDefault>
    <w:pPrDefault>
      <w:pPr>
        <w:ind w:left="0" w:right="0" w:hanging="0"/>
        <w:jc w:val="left"/>
        <w:spacing w:lineRule="auto" w:line="240" w:after="0" w:afterAutospacing="0" w:before="0" w:beforeAutospacing="0"/>
        <w:shd w:val="nil" w:color="auto" w:fill="FFFFFF"/>
        <w:pBdr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  <w:between w:val="none" w:color="000000" w:sz="4" w:space="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86" w:default="1">
    <w:name w:val="Normal"/>
    <w:qFormat/>
    <w:rPr>
      <w:rFonts w:ascii="Times New Roman" w:hAnsi="Times New Roman"/>
      <w:sz w:val="24"/>
      <w:lang w:eastAsia="zh-CN"/>
    </w:rPr>
    <w:pPr>
      <w:widowControl w:val="off"/>
    </w:pPr>
  </w:style>
  <w:style w:type="paragraph" w:styleId="187">
    <w:name w:val="Heading 1"/>
    <w:basedOn w:val="186"/>
    <w:next w:val="186"/>
    <w:qFormat/>
    <w:rPr>
      <w:rFonts w:ascii="Arial" w:hAnsi="Arial"/>
      <w:b/>
      <w:sz w:val="32"/>
    </w:rPr>
    <w:pPr>
      <w:keepLines/>
      <w:keepNext/>
      <w:spacing w:after="60" w:before="240"/>
      <w:outlineLvl w:val="0"/>
    </w:pPr>
  </w:style>
  <w:style w:type="paragraph" w:styleId="188">
    <w:name w:val="Heading 2"/>
    <w:basedOn w:val="186"/>
    <w:next w:val="186"/>
    <w:qFormat/>
    <w:uiPriority w:val="9"/>
    <w:unhideWhenUsed/>
    <w:rPr>
      <w:rFonts w:ascii="Arial" w:hAnsi="Arial" w:cs="Arial" w:eastAsia="Arial"/>
      <w:b/>
      <w:bCs/>
      <w:color w:val="000000" w:themeColor="text1"/>
      <w:sz w:val="40"/>
    </w:rPr>
    <w:pPr>
      <w:keepLines/>
      <w:keepNext/>
      <w:spacing w:before="200"/>
      <w:outlineLvl w:val="1"/>
    </w:pPr>
  </w:style>
  <w:style w:type="paragraph" w:styleId="189">
    <w:name w:val="Heading 3"/>
    <w:basedOn w:val="186"/>
    <w:next w:val="186"/>
    <w:qFormat/>
    <w:uiPriority w:val="9"/>
    <w:unhideWhenUsed/>
    <w:rPr>
      <w:rFonts w:ascii="Arial" w:hAnsi="Arial" w:cs="Arial" w:eastAsia="Arial"/>
      <w:b/>
      <w:bCs/>
      <w:i/>
      <w:iCs/>
      <w:color w:val="000000" w:themeColor="text1"/>
      <w:sz w:val="36"/>
      <w:szCs w:val="36"/>
    </w:rPr>
    <w:pPr>
      <w:keepLines/>
      <w:keepNext/>
      <w:spacing w:before="200"/>
      <w:outlineLvl w:val="2"/>
    </w:pPr>
  </w:style>
  <w:style w:type="paragraph" w:styleId="190">
    <w:name w:val="Heading 4"/>
    <w:basedOn w:val="186"/>
    <w:next w:val="186"/>
    <w:qFormat/>
    <w:uiPriority w:val="9"/>
    <w:unhideWhenUsed/>
    <w:rPr>
      <w:rFonts w:ascii="Arial" w:hAnsi="Arial" w:cs="Arial" w:eastAsia="Arial"/>
      <w:color w:val="232323"/>
      <w:sz w:val="32"/>
      <w:szCs w:val="32"/>
    </w:rPr>
    <w:pPr>
      <w:keepLines/>
      <w:keepNext/>
      <w:spacing w:before="200"/>
      <w:outlineLvl w:val="3"/>
    </w:pPr>
  </w:style>
  <w:style w:type="paragraph" w:styleId="191">
    <w:name w:val="Heading 5"/>
    <w:basedOn w:val="186"/>
    <w:next w:val="186"/>
    <w:qFormat/>
    <w:uiPriority w:val="9"/>
    <w:unhideWhenUsed/>
    <w:rPr>
      <w:rFonts w:ascii="Arial" w:hAnsi="Arial" w:cs="Arial" w:eastAsia="Arial"/>
      <w:b/>
      <w:bCs/>
      <w:color w:val="444444"/>
      <w:sz w:val="28"/>
      <w:szCs w:val="28"/>
    </w:rPr>
    <w:pPr>
      <w:keepLines/>
      <w:keepNext/>
      <w:spacing w:before="200"/>
      <w:outlineLvl w:val="4"/>
    </w:pPr>
  </w:style>
  <w:style w:type="paragraph" w:styleId="192">
    <w:name w:val="Heading 6"/>
    <w:basedOn w:val="186"/>
    <w:next w:val="186"/>
    <w:qFormat/>
    <w:unhideWhenUsed/>
    <w:rPr>
      <w:b/>
      <w:sz w:val="22"/>
    </w:rPr>
    <w:pPr>
      <w:keepLines/>
      <w:keepNext/>
      <w:spacing w:after="60" w:before="240"/>
      <w:outlineLvl w:val="5"/>
    </w:pPr>
  </w:style>
  <w:style w:type="paragraph" w:styleId="193">
    <w:name w:val="Heading 7"/>
    <w:basedOn w:val="186"/>
    <w:next w:val="186"/>
    <w:qFormat/>
    <w:uiPriority w:val="9"/>
    <w:unhideWhenUsed/>
    <w:rPr>
      <w:rFonts w:ascii="Arial" w:hAnsi="Arial" w:cs="Arial" w:eastAsia="Arial"/>
      <w:b/>
      <w:bCs/>
      <w:color w:val="606060"/>
      <w:szCs w:val="24"/>
    </w:rPr>
    <w:pPr>
      <w:keepLines/>
      <w:keepNext/>
      <w:spacing w:before="200"/>
      <w:outlineLvl w:val="6"/>
    </w:pPr>
  </w:style>
  <w:style w:type="paragraph" w:styleId="194">
    <w:name w:val="Heading 8"/>
    <w:basedOn w:val="186"/>
    <w:next w:val="186"/>
    <w:qFormat/>
    <w:uiPriority w:val="9"/>
    <w:unhideWhenUsed/>
    <w:rPr>
      <w:rFonts w:ascii="Arial" w:hAnsi="Arial" w:cs="Arial" w:eastAsia="Arial"/>
      <w:color w:val="444444"/>
      <w:szCs w:val="24"/>
    </w:rPr>
    <w:pPr>
      <w:keepLines/>
      <w:keepNext/>
      <w:spacing w:before="200"/>
      <w:outlineLvl w:val="7"/>
    </w:pPr>
  </w:style>
  <w:style w:type="paragraph" w:styleId="195">
    <w:name w:val="Heading 9"/>
    <w:basedOn w:val="186"/>
    <w:next w:val="186"/>
    <w:qFormat/>
    <w:uiPriority w:val="9"/>
    <w:unhideWhenUsed/>
    <w:rPr>
      <w:rFonts w:ascii="Arial" w:hAnsi="Arial" w:cs="Arial" w:eastAsia="Arial"/>
      <w:i/>
      <w:iCs/>
      <w:color w:val="444444"/>
      <w:sz w:val="23"/>
      <w:szCs w:val="23"/>
    </w:rPr>
    <w:pPr>
      <w:keepLines/>
      <w:keepNext/>
      <w:spacing w:before="200"/>
      <w:outlineLvl w:val="8"/>
    </w:pPr>
  </w:style>
  <w:style w:type="character" w:styleId="196" w:default="1">
    <w:name w:val="Default Paragraph Font"/>
    <w:uiPriority w:val="1"/>
    <w:semiHidden/>
    <w:unhideWhenUsed/>
  </w:style>
  <w:style w:type="table" w:styleId="197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198" w:default="1">
    <w:name w:val="No List"/>
    <w:uiPriority w:val="99"/>
    <w:semiHidden/>
    <w:unhideWhenUsed/>
  </w:style>
  <w:style w:type="character" w:styleId="199">
    <w:name w:val="Heading 1 Char"/>
    <w:basedOn w:val="196"/>
    <w:uiPriority w:val="9"/>
    <w:rPr>
      <w:rFonts w:ascii="Arial" w:hAnsi="Arial" w:cs="Arial" w:eastAsia="Arial"/>
      <w:b/>
      <w:bCs/>
      <w:color w:val="000000" w:themeColor="text1"/>
      <w:sz w:val="48"/>
      <w:szCs w:val="48"/>
    </w:rPr>
  </w:style>
  <w:style w:type="character" w:styleId="200">
    <w:name w:val="Heading 2 Char"/>
    <w:basedOn w:val="196"/>
    <w:uiPriority w:val="9"/>
    <w:rPr>
      <w:rFonts w:ascii="Arial" w:hAnsi="Arial" w:cs="Arial" w:eastAsia="Arial"/>
      <w:b/>
      <w:bCs/>
      <w:color w:val="000000" w:themeColor="text1"/>
      <w:sz w:val="40"/>
      <w:szCs w:val="40"/>
    </w:rPr>
  </w:style>
  <w:style w:type="character" w:styleId="201">
    <w:name w:val="Heading 3 Char"/>
    <w:basedOn w:val="196"/>
    <w:uiPriority w:val="9"/>
    <w:rPr>
      <w:rFonts w:ascii="Arial" w:hAnsi="Arial" w:cs="Arial" w:eastAsia="Arial"/>
      <w:b/>
      <w:bCs/>
      <w:i/>
      <w:iCs/>
      <w:color w:val="000000" w:themeColor="text1"/>
      <w:sz w:val="40"/>
      <w:szCs w:val="40"/>
    </w:rPr>
  </w:style>
  <w:style w:type="character" w:styleId="202">
    <w:name w:val="Heading 4 Char"/>
    <w:basedOn w:val="196"/>
    <w:uiPriority w:val="9"/>
    <w:rPr>
      <w:rFonts w:ascii="Arial" w:hAnsi="Arial" w:cs="Arial" w:eastAsia="Arial"/>
      <w:color w:val="232323"/>
      <w:sz w:val="32"/>
      <w:szCs w:val="32"/>
    </w:rPr>
  </w:style>
  <w:style w:type="character" w:styleId="203">
    <w:name w:val="Heading 5 Char"/>
    <w:basedOn w:val="196"/>
    <w:uiPriority w:val="9"/>
    <w:rPr>
      <w:rFonts w:ascii="Arial" w:hAnsi="Arial" w:cs="Arial" w:eastAsia="Arial"/>
      <w:b/>
      <w:bCs/>
      <w:color w:val="444444"/>
      <w:sz w:val="28"/>
      <w:szCs w:val="28"/>
    </w:rPr>
  </w:style>
  <w:style w:type="character" w:styleId="204">
    <w:name w:val="Heading 6 Char"/>
    <w:basedOn w:val="196"/>
    <w:uiPriority w:val="9"/>
    <w:rPr>
      <w:rFonts w:ascii="Arial" w:hAnsi="Arial" w:cs="Arial" w:eastAsia="Arial"/>
      <w:i/>
      <w:iCs/>
      <w:color w:val="232323"/>
      <w:sz w:val="28"/>
      <w:szCs w:val="28"/>
    </w:rPr>
  </w:style>
  <w:style w:type="character" w:styleId="205">
    <w:name w:val="Heading 7 Char"/>
    <w:basedOn w:val="196"/>
    <w:uiPriority w:val="9"/>
    <w:rPr>
      <w:rFonts w:ascii="Arial" w:hAnsi="Arial" w:cs="Arial" w:eastAsia="Arial"/>
      <w:b/>
      <w:bCs/>
      <w:color w:val="606060"/>
      <w:sz w:val="28"/>
      <w:szCs w:val="28"/>
    </w:rPr>
  </w:style>
  <w:style w:type="character" w:styleId="206">
    <w:name w:val="Heading 8 Char"/>
    <w:basedOn w:val="196"/>
    <w:uiPriority w:val="9"/>
    <w:rPr>
      <w:rFonts w:ascii="Arial" w:hAnsi="Arial" w:cs="Arial" w:eastAsia="Arial"/>
      <w:color w:val="444444"/>
      <w:sz w:val="24"/>
      <w:szCs w:val="24"/>
    </w:rPr>
  </w:style>
  <w:style w:type="character" w:styleId="207">
    <w:name w:val="Heading 9 Char"/>
    <w:basedOn w:val="196"/>
    <w:uiPriority w:val="9"/>
    <w:rPr>
      <w:rFonts w:ascii="Arial" w:hAnsi="Arial" w:cs="Arial" w:eastAsia="Arial"/>
      <w:i/>
      <w:iCs/>
      <w:color w:val="444444"/>
      <w:sz w:val="23"/>
      <w:szCs w:val="23"/>
    </w:rPr>
  </w:style>
  <w:style w:type="paragraph" w:styleId="208">
    <w:name w:val="List Paragraph"/>
    <w:basedOn w:val="186"/>
    <w:qFormat/>
    <w:uiPriority w:val="34"/>
    <w:pPr>
      <w:contextualSpacing w:val="true"/>
      <w:ind w:left="720"/>
    </w:pPr>
  </w:style>
  <w:style w:type="paragraph" w:styleId="209">
    <w:name w:val="No Spacing"/>
    <w:basedOn w:val="186"/>
    <w:qFormat/>
    <w:uiPriority w:val="1"/>
    <w:rPr>
      <w:color w:val="000000"/>
    </w:rPr>
  </w:style>
  <w:style w:type="paragraph" w:styleId="210">
    <w:name w:val="Title"/>
    <w:basedOn w:val="186"/>
    <w:next w:val="186"/>
    <w:qFormat/>
    <w:uiPriority w:val="10"/>
    <w:rPr>
      <w:b/>
      <w:color w:val="000000"/>
      <w:sz w:val="72"/>
    </w:rPr>
    <w:pPr>
      <w:spacing w:after="80" w:before="300"/>
      <w:pBdr>
        <w:bottom w:val="single" w:color="000000" w:sz="24" w:space="0"/>
      </w:pBdr>
      <w:outlineLvl w:val="0"/>
    </w:pPr>
  </w:style>
  <w:style w:type="paragraph" w:styleId="211">
    <w:name w:val="Subtitle"/>
    <w:basedOn w:val="186"/>
    <w:next w:val="186"/>
    <w:qFormat/>
    <w:uiPriority w:val="11"/>
    <w:rPr>
      <w:i/>
      <w:color w:val="444444"/>
      <w:sz w:val="52"/>
    </w:rPr>
    <w:pPr>
      <w:outlineLvl w:val="0"/>
    </w:pPr>
  </w:style>
  <w:style w:type="paragraph" w:styleId="212">
    <w:name w:val="Quote"/>
    <w:basedOn w:val="186"/>
    <w:next w:val="186"/>
    <w:qFormat/>
    <w:uiPriority w:val="29"/>
    <w:rPr>
      <w:i/>
      <w:color w:val="373737"/>
      <w:sz w:val="18"/>
    </w:rPr>
    <w:pPr>
      <w:ind w:left="3402"/>
      <w:pBdr>
        <w:left w:val="single" w:color="A6A6A6" w:sz="12" w:space="11"/>
        <w:bottom w:val="single" w:color="A6A6A6" w:sz="12" w:space="3"/>
      </w:pBdr>
    </w:pPr>
  </w:style>
  <w:style w:type="paragraph" w:styleId="213">
    <w:name w:val="Intense Quote"/>
    <w:basedOn w:val="186"/>
    <w:next w:val="186"/>
    <w:qFormat/>
    <w:uiPriority w:val="30"/>
    <w:rPr>
      <w:i/>
      <w:color w:val="606060"/>
      <w:sz w:val="19"/>
    </w:rPr>
    <w:pPr>
      <w:ind w:left="567" w:right="567"/>
      <w:shd w:val="clear" w:color="auto" w:fill="D9D9D9"/>
      <w:pBdr>
        <w:left w:val="single" w:color="808080" w:sz="4" w:space="11"/>
        <w:top w:val="single" w:color="808080" w:sz="4" w:space="3"/>
        <w:right w:val="single" w:color="808080" w:sz="4" w:space="11"/>
        <w:bottom w:val="single" w:color="808080" w:sz="4" w:space="3"/>
      </w:pBdr>
    </w:pPr>
  </w:style>
  <w:style w:type="paragraph" w:styleId="214">
    <w:name w:val="Header"/>
    <w:basedOn w:val="186"/>
    <w:uiPriority w:val="99"/>
    <w:unhideWhenUsed/>
    <w:rPr>
      <w:color w:val="000000"/>
      <w:sz w:val="22"/>
    </w:rPr>
    <w:pPr>
      <w:tabs>
        <w:tab w:val="center" w:pos="7143" w:leader="none"/>
        <w:tab w:val="right" w:pos="14287" w:leader="none"/>
      </w:tabs>
    </w:pPr>
  </w:style>
  <w:style w:type="paragraph" w:styleId="215">
    <w:name w:val="Footer"/>
    <w:basedOn w:val="186"/>
    <w:uiPriority w:val="99"/>
    <w:unhideWhenUsed/>
    <w:rPr>
      <w:color w:val="000000"/>
      <w:sz w:val="22"/>
    </w:rPr>
    <w:pPr>
      <w:tabs>
        <w:tab w:val="center" w:pos="7143" w:leader="none"/>
        <w:tab w:val="right" w:pos="14287" w:leader="none"/>
      </w:tabs>
    </w:pPr>
  </w:style>
  <w:style w:type="table" w:styleId="216">
    <w:name w:val="Table Grid"/>
    <w:basedOn w:val="197"/>
    <w:uiPriority w:val="59"/>
    <w:tblPr>
      <w:tblBorders>
        <w:left w:val="single" w:color="000000" w:sz="4" w:space="0"/>
        <w:top w:val="single" w:color="000000" w:sz="4" w:space="0"/>
        <w:right w:val="single" w:color="000000" w:sz="4" w:space="0"/>
        <w:bottom w:val="single" w:color="000000" w:sz="4" w:space="0"/>
        <w:insideV w:val="single" w:color="000000" w:sz="4" w:space="0"/>
        <w:insideH w:val="single" w:color="000000" w:sz="4" w:space="0"/>
      </w:tblBorders>
    </w:tblPr>
  </w:style>
  <w:style w:type="table" w:styleId="217">
    <w:name w:val="Lined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F2F2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2F2F2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7F7F7F"/>
      </w:tcPr>
    </w:tblStylePr>
  </w:style>
  <w:style w:type="table" w:styleId="218">
    <w:name w:val="Lined - Accent 1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548DD4"/>
      </w:tcPr>
    </w:tblStylePr>
  </w:style>
  <w:style w:type="table" w:styleId="219">
    <w:name w:val="Lined - Accent 2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D99594"/>
      </w:tcPr>
    </w:tblStylePr>
  </w:style>
  <w:style w:type="table" w:styleId="220">
    <w:name w:val="Lined - Accent 3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9BB559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9BB559"/>
      </w:tcPr>
    </w:tblStylePr>
  </w:style>
  <w:style w:type="table" w:styleId="221">
    <w:name w:val="Lined - Accent 4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B2A1C7"/>
      </w:tcPr>
    </w:tblStylePr>
  </w:style>
  <w:style w:type="table" w:styleId="222">
    <w:name w:val="Lined - Accent 5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4BACC6"/>
      </w:tcPr>
    </w:tblStylePr>
  </w:style>
  <w:style w:type="table" w:styleId="223">
    <w:name w:val="Lined - Accent 6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79646"/>
      </w:tcPr>
    </w:tblStylePr>
  </w:style>
  <w:style w:type="table" w:styleId="224">
    <w:name w:val="Bordered"/>
    <w:basedOn w:val="197"/>
    <w:uiPriority w:val="99"/>
    <w:tblPr>
      <w:tblStyleRowBandSize w:val="1"/>
      <w:tblStyleColBandSize w:val="1"/>
      <w:tblBorders>
        <w:left w:val="single" w:color="D9D9D9" w:sz="4" w:space="0"/>
        <w:top w:val="single" w:color="D9D9D9" w:sz="4" w:space="0"/>
        <w:right w:val="single" w:color="D9D9D9" w:sz="4" w:space="0"/>
        <w:bottom w:val="single" w:color="D9D9D9" w:sz="4" w:space="0"/>
        <w:insideV w:val="single" w:color="D9D9D9" w:sz="4" w:space="0"/>
        <w:insideH w:val="single" w:color="D9D9D9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D9D9D9" w:sz="4" w:space="0"/>
          <w:top w:val="single" w:color="D9D9D9" w:sz="4" w:space="0"/>
          <w:right w:val="single" w:color="D9D9D9" w:sz="4" w:space="0"/>
          <w:bottom w:val="single" w:color="D9D9D9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7F7F7F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sz="12" w:space="0"/>
        </w:tcBorders>
      </w:tcPr>
    </w:tblStylePr>
  </w:style>
  <w:style w:type="table" w:styleId="225">
    <w:name w:val="Bordered - Accent 1"/>
    <w:basedOn w:val="197"/>
    <w:uiPriority w:val="99"/>
    <w:tblPr>
      <w:tblStyleRowBandSize w:val="1"/>
      <w:tblStyleColBandSize w:val="1"/>
      <w:tblBorders>
        <w:left w:val="single" w:color="B8CCE4" w:sz="4" w:space="0"/>
        <w:top w:val="single" w:color="B8CCE4" w:sz="4" w:space="0"/>
        <w:right w:val="single" w:color="B8CCE4" w:sz="4" w:space="0"/>
        <w:bottom w:val="single" w:color="B8CCE4" w:sz="4" w:space="0"/>
        <w:insideV w:val="single" w:color="B8CCE4" w:sz="4" w:space="0"/>
        <w:insideH w:val="single" w:color="B8CCE4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B8CCE4" w:sz="4" w:space="0"/>
          <w:top w:val="single" w:color="B8CCE4" w:sz="4" w:space="0"/>
          <w:right w:val="single" w:color="B8CCE4" w:sz="4" w:space="0"/>
          <w:bottom w:val="single" w:color="B8CCE4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4F81BD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4F81BD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sz="12" w:space="0"/>
        </w:tcBorders>
      </w:tcPr>
    </w:tblStylePr>
  </w:style>
  <w:style w:type="table" w:styleId="226">
    <w:name w:val="Bordered - Accent 2"/>
    <w:basedOn w:val="197"/>
    <w:uiPriority w:val="99"/>
    <w:tblPr>
      <w:tblStyleRowBandSize w:val="1"/>
      <w:tblStyleColBandSize w:val="1"/>
      <w:tblBorders>
        <w:left w:val="single" w:color="E5B8B7" w:sz="4" w:space="0"/>
        <w:top w:val="single" w:color="E5B8B7" w:sz="4" w:space="0"/>
        <w:right w:val="single" w:color="E5B8B7" w:sz="4" w:space="0"/>
        <w:bottom w:val="single" w:color="E5B8B7" w:sz="4" w:space="0"/>
        <w:insideV w:val="single" w:color="E5B8B7" w:sz="4" w:space="0"/>
        <w:insideH w:val="single" w:color="E5B8B7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E5B8B7" w:sz="4" w:space="0"/>
          <w:top w:val="single" w:color="E5B8B7" w:sz="4" w:space="0"/>
          <w:right w:val="single" w:color="E5B8B7" w:sz="4" w:space="0"/>
          <w:bottom w:val="single" w:color="E5B8B7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D99594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D99594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594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594" w:sz="12" w:space="0"/>
        </w:tcBorders>
      </w:tcPr>
    </w:tblStylePr>
  </w:style>
  <w:style w:type="table" w:styleId="227">
    <w:name w:val="Bordered - Accent 3"/>
    <w:basedOn w:val="197"/>
    <w:uiPriority w:val="99"/>
    <w:tblPr>
      <w:tblStyleRowBandSize w:val="1"/>
      <w:tblStyleColBandSize w:val="1"/>
      <w:tblBorders>
        <w:left w:val="single" w:color="D6E3BC" w:sz="4" w:space="0"/>
        <w:top w:val="single" w:color="D6E3BC" w:sz="4" w:space="0"/>
        <w:right w:val="single" w:color="D6E3BC" w:sz="4" w:space="0"/>
        <w:bottom w:val="single" w:color="D6E3BC" w:sz="4" w:space="0"/>
        <w:insideV w:val="single" w:color="D6E3BC" w:sz="4" w:space="0"/>
        <w:insideH w:val="single" w:color="D6E3BC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D6E3BC" w:sz="4" w:space="0"/>
          <w:top w:val="single" w:color="D6E3BC" w:sz="4" w:space="0"/>
          <w:right w:val="single" w:color="D6E3BC" w:sz="4" w:space="0"/>
          <w:bottom w:val="single" w:color="D6E3BC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C2D69B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2D69B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2D69B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2D69B" w:sz="12" w:space="0"/>
        </w:tcBorders>
      </w:tcPr>
    </w:tblStylePr>
  </w:style>
  <w:style w:type="table" w:styleId="228">
    <w:name w:val="Bordered - Accent 4"/>
    <w:basedOn w:val="197"/>
    <w:uiPriority w:val="99"/>
    <w:tblPr>
      <w:tblStyleRowBandSize w:val="1"/>
      <w:tblStyleColBandSize w:val="1"/>
      <w:tblBorders>
        <w:left w:val="single" w:color="CCC0D9" w:sz="4" w:space="0"/>
        <w:top w:val="single" w:color="CCC0D9" w:sz="4" w:space="0"/>
        <w:right w:val="single" w:color="CCC0D9" w:sz="4" w:space="0"/>
        <w:bottom w:val="single" w:color="CCC0D9" w:sz="4" w:space="0"/>
        <w:insideV w:val="single" w:color="CCC0D9" w:sz="4" w:space="0"/>
        <w:insideH w:val="single" w:color="CCC0D9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CCC0D9" w:sz="4" w:space="0"/>
          <w:top w:val="single" w:color="CCC0D9" w:sz="4" w:space="0"/>
          <w:right w:val="single" w:color="CCC0D9" w:sz="4" w:space="0"/>
          <w:bottom w:val="single" w:color="CCC0D9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B2A1C7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B2A1C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7" w:sz="12" w:space="0"/>
        </w:tcBorders>
      </w:tcPr>
    </w:tblStylePr>
  </w:style>
  <w:style w:type="table" w:styleId="229">
    <w:name w:val="Bordered - Accent 5"/>
    <w:basedOn w:val="197"/>
    <w:uiPriority w:val="99"/>
    <w:tblPr>
      <w:tblStyleRowBandSize w:val="1"/>
      <w:tblStyleColBandSize w:val="1"/>
      <w:tblBorders>
        <w:left w:val="single" w:color="B6DDE8" w:sz="4" w:space="0"/>
        <w:top w:val="single" w:color="B6DDE8" w:sz="4" w:space="0"/>
        <w:right w:val="single" w:color="B6DDE8" w:sz="4" w:space="0"/>
        <w:bottom w:val="single" w:color="B6DDE8" w:sz="4" w:space="0"/>
        <w:insideV w:val="single" w:color="B6DDE8" w:sz="4" w:space="0"/>
        <w:insideH w:val="single" w:color="B6DDE8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B6DDE8" w:sz="4" w:space="0"/>
          <w:top w:val="single" w:color="B6DDE8" w:sz="4" w:space="0"/>
          <w:right w:val="single" w:color="B6DDE8" w:sz="4" w:space="0"/>
          <w:bottom w:val="single" w:color="B6DDE8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92CDDC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92CDDC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DDC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DDC" w:sz="12" w:space="0"/>
        </w:tcBorders>
      </w:tcPr>
    </w:tblStylePr>
  </w:style>
  <w:style w:type="table" w:styleId="230">
    <w:name w:val="Bordered - Accent 6"/>
    <w:basedOn w:val="197"/>
    <w:uiPriority w:val="99"/>
    <w:tblPr>
      <w:tblStyleRowBandSize w:val="1"/>
      <w:tblStyleColBandSize w:val="1"/>
      <w:tblBorders>
        <w:left w:val="single" w:color="FBD4B4" w:sz="4" w:space="0"/>
        <w:top w:val="single" w:color="FBD4B4" w:sz="4" w:space="0"/>
        <w:right w:val="single" w:color="FBD4B4" w:sz="4" w:space="0"/>
        <w:bottom w:val="single" w:color="FBD4B4" w:sz="4" w:space="0"/>
        <w:insideV w:val="single" w:color="FBD4B4" w:sz="4" w:space="0"/>
        <w:insideH w:val="single" w:color="FBD4B4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FBD4B4" w:sz="4" w:space="0"/>
          <w:top w:val="single" w:color="FBD4B4" w:sz="4" w:space="0"/>
          <w:right w:val="single" w:color="FBD4B4" w:sz="4" w:space="0"/>
          <w:bottom w:val="single" w:color="FBD4B4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FABF8F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ABF8F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BF8F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BF8F" w:sz="12" w:space="0"/>
        </w:tcBorders>
      </w:tcPr>
    </w:tblStylePr>
  </w:style>
  <w:style w:type="table" w:styleId="231">
    <w:name w:val="Bordered &amp; Lined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595959" w:sz="4" w:space="0"/>
        <w:top w:val="single" w:color="595959" w:sz="4" w:space="0"/>
        <w:right w:val="single" w:color="595959" w:sz="4" w:space="0"/>
        <w:bottom w:val="single" w:color="595959" w:sz="4" w:space="0"/>
        <w:insideV w:val="single" w:color="595959" w:sz="4" w:space="0"/>
        <w:insideH w:val="single" w:color="595959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F2F2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D9D9D9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7F7F7F"/>
      </w:tcPr>
    </w:tblStylePr>
  </w:style>
  <w:style w:type="table" w:styleId="232">
    <w:name w:val="Bordered &amp; Lined - Accent 1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1F497D" w:sz="4" w:space="0"/>
        <w:top w:val="single" w:color="1F497D" w:sz="4" w:space="0"/>
        <w:right w:val="single" w:color="1F497D" w:sz="4" w:space="0"/>
        <w:bottom w:val="single" w:color="1F497D" w:sz="4" w:space="0"/>
        <w:insideV w:val="single" w:color="1F497D" w:sz="4" w:space="0"/>
        <w:insideH w:val="single" w:color="1F497D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548DD4"/>
      </w:tcPr>
    </w:tblStylePr>
  </w:style>
  <w:style w:type="table" w:styleId="233">
    <w:name w:val="Bordered &amp; Lined - Accent 2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C0504D" w:sz="4" w:space="0"/>
        <w:top w:val="single" w:color="C0504D" w:sz="4" w:space="0"/>
        <w:right w:val="single" w:color="C0504D" w:sz="4" w:space="0"/>
        <w:bottom w:val="single" w:color="C0504D" w:sz="4" w:space="0"/>
        <w:insideV w:val="single" w:color="C0504D" w:sz="4" w:space="0"/>
        <w:insideH w:val="single" w:color="C0504D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D99594"/>
      </w:tcPr>
    </w:tblStylePr>
  </w:style>
  <w:style w:type="table" w:styleId="234">
    <w:name w:val="Bordered &amp; Lined - Accent 3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76923C" w:sz="4" w:space="0"/>
        <w:top w:val="single" w:color="76923C" w:sz="4" w:space="0"/>
        <w:right w:val="single" w:color="76923C" w:sz="4" w:space="0"/>
        <w:bottom w:val="single" w:color="76923C" w:sz="4" w:space="0"/>
        <w:insideV w:val="single" w:color="76923C" w:sz="4" w:space="0"/>
        <w:insideH w:val="single" w:color="76923C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9BBB59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9BBB59"/>
      </w:tcPr>
    </w:tblStylePr>
  </w:style>
  <w:style w:type="table" w:styleId="235">
    <w:name w:val="Bordered &amp; Lined - Accent 4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8064A2" w:sz="4" w:space="0"/>
        <w:top w:val="single" w:color="8064A2" w:sz="4" w:space="0"/>
        <w:right w:val="single" w:color="8064A2" w:sz="4" w:space="0"/>
        <w:bottom w:val="single" w:color="8064A2" w:sz="4" w:space="0"/>
        <w:insideV w:val="single" w:color="8064A2" w:sz="4" w:space="0"/>
        <w:insideH w:val="single" w:color="8064A2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B2A1C7"/>
      </w:tcPr>
    </w:tblStylePr>
  </w:style>
  <w:style w:type="table" w:styleId="236">
    <w:name w:val="Bordered &amp; Lined - Accent 5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31849B" w:sz="4" w:space="0"/>
        <w:top w:val="single" w:color="31849B" w:sz="4" w:space="0"/>
        <w:right w:val="single" w:color="31849B" w:sz="4" w:space="0"/>
        <w:bottom w:val="single" w:color="31849B" w:sz="4" w:space="0"/>
        <w:insideV w:val="single" w:color="31849B" w:sz="4" w:space="0"/>
        <w:insideH w:val="single" w:color="31849B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4BACC6"/>
      </w:tcPr>
    </w:tblStylePr>
  </w:style>
  <w:style w:type="table" w:styleId="237">
    <w:name w:val="Bordered &amp; Lined - Accent 6"/>
    <w:basedOn w:val="197"/>
    <w:uiPriority w:val="99"/>
    <w:rPr>
      <w:color w:val="404040"/>
      <w:szCs w:val="20"/>
      <w:lang w:val="en-GB" w:bidi="ar-SA" w:eastAsia="en-GB"/>
    </w:rPr>
    <w:tblPr>
      <w:tblStyleRowBandSize w:val="1"/>
      <w:tblStyleColBandSize w:val="1"/>
      <w:tblBorders>
        <w:left w:val="single" w:color="E36C0A" w:sz="4" w:space="0"/>
        <w:top w:val="single" w:color="E36C0A" w:sz="4" w:space="0"/>
        <w:right w:val="single" w:color="E36C0A" w:sz="4" w:space="0"/>
        <w:bottom w:val="single" w:color="E36C0A" w:sz="4" w:space="0"/>
        <w:insideV w:val="single" w:color="E36C0A" w:sz="4" w:space="0"/>
        <w:insideH w:val="single" w:color="E36C0A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79646"/>
      </w:tcPr>
    </w:tblStylePr>
  </w:style>
  <w:style w:type="paragraph" w:styleId="238">
    <w:name w:val="footnote text"/>
    <w:basedOn w:val="186"/>
    <w:uiPriority w:val="99"/>
    <w:semiHidden/>
    <w:unhideWhenUsed/>
    <w:rPr>
      <w:sz w:val="20"/>
    </w:rPr>
  </w:style>
  <w:style w:type="character" w:styleId="239">
    <w:name w:val="Footnote Text Char"/>
    <w:basedOn w:val="196"/>
    <w:uiPriority w:val="99"/>
    <w:semiHidden/>
    <w:rPr>
      <w:sz w:val="20"/>
    </w:rPr>
  </w:style>
  <w:style w:type="character" w:styleId="240">
    <w:name w:val="footnote reference"/>
    <w:basedOn w:val="196"/>
    <w:uiPriority w:val="99"/>
    <w:semiHidden/>
    <w:unhideWhenUsed/>
    <w:rPr>
      <w:vertAlign w:val="superscript"/>
    </w:rPr>
  </w:style>
  <w:style w:type="paragraph" w:styleId="241">
    <w:name w:val="toc 1"/>
    <w:basedOn w:val="186"/>
    <w:next w:val="186"/>
    <w:uiPriority w:val="39"/>
    <w:unhideWhenUsed/>
    <w:pPr>
      <w:spacing w:after="57"/>
    </w:pPr>
  </w:style>
  <w:style w:type="paragraph" w:styleId="242">
    <w:name w:val="toc 2"/>
    <w:basedOn w:val="186"/>
    <w:next w:val="186"/>
    <w:uiPriority w:val="39"/>
    <w:unhideWhenUsed/>
    <w:pPr>
      <w:ind w:left="283"/>
      <w:spacing w:after="57"/>
    </w:pPr>
  </w:style>
  <w:style w:type="paragraph" w:styleId="243">
    <w:name w:val="toc 3"/>
    <w:basedOn w:val="186"/>
    <w:next w:val="186"/>
    <w:uiPriority w:val="39"/>
    <w:unhideWhenUsed/>
    <w:pPr>
      <w:ind w:left="567"/>
      <w:spacing w:after="57"/>
    </w:pPr>
  </w:style>
  <w:style w:type="paragraph" w:styleId="244">
    <w:name w:val="toc 4"/>
    <w:basedOn w:val="186"/>
    <w:next w:val="186"/>
    <w:uiPriority w:val="39"/>
    <w:unhideWhenUsed/>
    <w:pPr>
      <w:ind w:left="850"/>
      <w:spacing w:after="57"/>
    </w:pPr>
  </w:style>
  <w:style w:type="paragraph" w:styleId="245">
    <w:name w:val="toc 5"/>
    <w:basedOn w:val="186"/>
    <w:next w:val="186"/>
    <w:uiPriority w:val="39"/>
    <w:unhideWhenUsed/>
    <w:pPr>
      <w:ind w:left="1134"/>
      <w:spacing w:after="57"/>
    </w:pPr>
  </w:style>
  <w:style w:type="paragraph" w:styleId="246">
    <w:name w:val="toc 6"/>
    <w:basedOn w:val="186"/>
    <w:next w:val="186"/>
    <w:uiPriority w:val="39"/>
    <w:unhideWhenUsed/>
    <w:pPr>
      <w:ind w:left="1417"/>
      <w:spacing w:after="57"/>
    </w:pPr>
  </w:style>
  <w:style w:type="paragraph" w:styleId="247">
    <w:name w:val="toc 7"/>
    <w:basedOn w:val="186"/>
    <w:next w:val="186"/>
    <w:uiPriority w:val="39"/>
    <w:unhideWhenUsed/>
    <w:pPr>
      <w:ind w:left="1701"/>
      <w:spacing w:after="57"/>
    </w:pPr>
  </w:style>
  <w:style w:type="paragraph" w:styleId="248">
    <w:name w:val="toc 8"/>
    <w:basedOn w:val="186"/>
    <w:next w:val="186"/>
    <w:uiPriority w:val="39"/>
    <w:unhideWhenUsed/>
    <w:pPr>
      <w:ind w:left="1984"/>
      <w:spacing w:after="57"/>
    </w:pPr>
  </w:style>
  <w:style w:type="paragraph" w:styleId="249">
    <w:name w:val="toc 9"/>
    <w:basedOn w:val="186"/>
    <w:next w:val="186"/>
    <w:uiPriority w:val="39"/>
    <w:unhideWhenUsed/>
    <w:pPr>
      <w:ind w:left="2268"/>
      <w:spacing w:after="57"/>
    </w:pPr>
  </w:style>
  <w:style w:type="paragraph" w:styleId="250">
    <w:name w:val="TOC Heading"/>
    <w:uiPriority w:val="39"/>
    <w:unhideWhenUsed/>
  </w:style>
  <w:style w:type="character" w:styleId="251">
    <w:name w:val="Hyperlink"/>
    <w:basedOn w:val="196"/>
    <w:qFormat/>
    <w:rPr>
      <w:color w:val="0000FF"/>
      <w:u w:val="single"/>
    </w:rPr>
  </w:style>
  <w:style w:type="paragraph" w:styleId="252">
    <w:name w:val="List Bullet 1"/>
    <w:qFormat/>
    <w:rPr>
      <w:rFonts w:ascii="Times New Roman" w:hAnsi="Times New Roman" w:cs="Times New Roman" w:eastAsia="Times New Roman"/>
      <w:sz w:val="24"/>
      <w:szCs w:val="20"/>
      <w:lang w:val="sr-Latn-CS" w:bidi="ar-SA"/>
    </w:rPr>
    <w:pPr>
      <w:ind w:left="1134" w:hanging="555"/>
      <w:jc w:val="both"/>
      <w:spacing w:lineRule="auto" w:line="360"/>
      <w:tabs>
        <w:tab w:val="left" w:pos="1134" w:leader="none"/>
      </w:tabs>
    </w:pPr>
  </w:style>
  <w:style w:type="paragraph" w:styleId="253">
    <w:name w:val="Body Text Indent 3"/>
    <w:semiHidden/>
    <w:unhideWhenUsed/>
    <w:rPr>
      <w:rFonts w:ascii="Arial Narrow" w:hAnsi="Arial Narrow" w:cs="Times New Roman" w:eastAsia="Times New Roman"/>
      <w:sz w:val="24"/>
      <w:szCs w:val="24"/>
      <w:lang w:val="sr-Cyrl-CS" w:bidi="ar-SA"/>
    </w:rPr>
    <w:pPr>
      <w:ind w:firstLine="360"/>
    </w:pPr>
  </w:style>
  <w:style w:type="character" w:styleId="254">
    <w:name w:val="annotation reference"/>
    <w:basedOn w:val="196"/>
    <w:uiPriority w:val="99"/>
    <w:semiHidden/>
    <w:unhideWhenUsed/>
    <w:rPr>
      <w:sz w:val="16"/>
      <w:szCs w:val="16"/>
    </w:rPr>
  </w:style>
  <w:style w:type="paragraph" w:styleId="255">
    <w:name w:val="annotation text"/>
    <w:basedOn w:val="186"/>
    <w:uiPriority w:val="99"/>
    <w:semiHidden/>
    <w:unhideWhenUsed/>
    <w:rPr>
      <w:sz w:val="20"/>
      <w:szCs w:val="20"/>
    </w:rPr>
  </w:style>
  <w:style w:type="character" w:styleId="256">
    <w:name w:val="Comment Text Char"/>
    <w:basedOn w:val="196"/>
    <w:uiPriority w:val="99"/>
    <w:semiHidden/>
    <w:rPr>
      <w:rFonts w:ascii="Times New Roman" w:hAnsi="Times New Roman"/>
      <w:szCs w:val="20"/>
      <w:lang w:eastAsia="zh-CN"/>
    </w:rPr>
  </w:style>
  <w:style w:type="paragraph" w:styleId="257">
    <w:name w:val="annotation subject"/>
    <w:basedOn w:val="255"/>
    <w:next w:val="255"/>
    <w:uiPriority w:val="99"/>
    <w:semiHidden/>
    <w:unhideWhenUsed/>
    <w:rPr>
      <w:b/>
      <w:bCs/>
    </w:rPr>
  </w:style>
  <w:style w:type="character" w:styleId="258">
    <w:name w:val="Comment Subject Char"/>
    <w:basedOn w:val="256"/>
    <w:uiPriority w:val="99"/>
    <w:semiHidden/>
    <w:rPr>
      <w:rFonts w:ascii="Times New Roman" w:hAnsi="Times New Roman"/>
      <w:b/>
      <w:bCs/>
      <w:szCs w:val="20"/>
      <w:lang w:eastAsia="zh-CN"/>
    </w:rPr>
  </w:style>
  <w:style w:type="paragraph" w:styleId="259">
    <w:name w:val="Balloon Text"/>
    <w:basedOn w:val="186"/>
    <w:uiPriority w:val="99"/>
    <w:semiHidden/>
    <w:unhideWhenUsed/>
    <w:rPr>
      <w:rFonts w:ascii="Segoe UI" w:hAnsi="Segoe UI" w:cs="Segoe UI"/>
      <w:sz w:val="18"/>
      <w:szCs w:val="18"/>
    </w:rPr>
  </w:style>
  <w:style w:type="character" w:styleId="260">
    <w:name w:val="Balloon Text Char"/>
    <w:basedOn w:val="196"/>
    <w:uiPriority w:val="99"/>
    <w:semiHidden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hyperlink" Target="mailto:srbobran@eunet.rs" TargetMode="External"/><Relationship Id="rId9" Type="http://schemas.openxmlformats.org/officeDocument/2006/relationships/hyperlink" Target="https://urbanizam.srbobran.rs/dokumenti-urb/inspekcija/plan-rada" TargetMode="External"/><Relationship Id="rId10" Type="http://schemas.openxmlformats.org/officeDocument/2006/relationships/hyperlink" Target="https://urbanizam.srbobran.rs/dokumenti-urb/inspekcija/kontrole-liste/insp-zastite-ziv-sredine" TargetMode="External"/><Relationship Id="rId11" Type="http://schemas.openxmlformats.org/officeDocument/2006/relationships/hyperlink" Target="https://www.srbobran.rs/euprava/informator" TargetMode="External"/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ONLYOFFICE/2.4.526.0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</cp:coreProperties>
</file>