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jpeg" ContentType="image/jpeg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 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p14">
  <w:body>
    <w:p>
      <w:pPr>
        <w:ind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r-Cyrl-CS"/>
        </w:rPr>
        <w:t xml:space="preserve">Република Србија 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  <w:t xml:space="preserve">Аутономна Покрајина Војводина</w:t>
      </w:r>
      <w:r/>
    </w:p>
    <w:p>
      <w:pPr>
        <w:ind w:left="0" w:right="0" w:hanging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  <w:t xml:space="preserve">Општина Србобран</w:t>
      </w:r>
      <w:r/>
    </w:p>
    <w:p>
      <w:pPr>
        <w:pStyle w:val="229"/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 w:val="false"/>
          <w:sz w:val="22"/>
          <w:szCs w:val="22"/>
        </w:rPr>
      </w:pPr>
      <w:r>
        <w:rPr>
          <w:rFonts w:ascii="Times New Roman" w:hAnsi="Times New Roman" w:cs="Times New Roman" w:hint="default"/>
          <w:b/>
          <w:bCs w:val="false"/>
          <w:sz w:val="22"/>
          <w:szCs w:val="22"/>
        </w:rPr>
        <w:t xml:space="preserve">Општинска управа Србобран </w:t>
      </w:r>
      <w:r/>
    </w:p>
    <w:p>
      <w:pPr>
        <w:rPr>
          <w:rFonts w:hint="default"/>
          <w:b/>
          <w:bCs w:val="false"/>
          <w:lang w:val="sr-Cyrl-RS"/>
        </w:rPr>
      </w:pPr>
      <w:r>
        <w:rPr>
          <w:rFonts w:cs="Times New Roman" w:hint="default"/>
          <w:b/>
          <w:bCs w:val="false"/>
          <w:sz w:val="22"/>
          <w:szCs w:val="22"/>
          <w:lang w:val="sr-Cyrl-RS"/>
        </w:rPr>
        <w:t xml:space="preserve">Одељење за урбанизам,стамбено-комналне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  <w:t xml:space="preserve">послове и заштиту животне средине 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cs="Times New Roman" w:hint="default"/>
          <w:b/>
          <w:bCs/>
          <w:sz w:val="22"/>
          <w:szCs w:val="22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en-US"/>
        </w:rPr>
        <w:t xml:space="preserve">Broj</w:t>
      </w:r>
      <w:r>
        <w:rPr>
          <w:rFonts w:ascii="Times New Roman" w:hAnsi="Times New Roman" w:cs="Times New Roman" w:hint="default"/>
          <w:b/>
          <w:bCs/>
          <w:sz w:val="22"/>
          <w:szCs w:val="22"/>
          <w:lang w:val="sr-Cyrl-RS"/>
        </w:rPr>
        <w:t xml:space="preserve">:</w:t>
      </w:r>
      <w:r>
        <w:rPr>
          <w:rFonts w:cs="Times New Roman" w:hint="default"/>
          <w:b/>
          <w:bCs/>
          <w:sz w:val="22"/>
          <w:szCs w:val="22"/>
          <w:lang w:val="en-US"/>
        </w:rPr>
        <w:t xml:space="preserve"> </w:t>
      </w:r>
      <w:r>
        <w:rPr>
          <w:rFonts w:cs="Times New Roman" w:hint="default"/>
          <w:b/>
          <w:bCs/>
          <w:sz w:val="22"/>
          <w:szCs w:val="22"/>
          <w:lang w:val="sr-Cyrl-RS"/>
        </w:rPr>
        <w:t xml:space="preserve">501- </w:t>
      </w:r>
      <w:r>
        <w:rPr>
          <w:rFonts w:cs="Times New Roman" w:hint="default"/>
          <w:b/>
          <w:bCs/>
          <w:sz w:val="22"/>
          <w:szCs w:val="22"/>
          <w:lang w:val="en-US"/>
        </w:rPr>
        <w:t xml:space="preserve">45 </w:t>
      </w:r>
      <w:r>
        <w:rPr>
          <w:rFonts w:cs="Times New Roman" w:hint="default"/>
          <w:b/>
          <w:bCs/>
          <w:sz w:val="22"/>
          <w:szCs w:val="22"/>
          <w:lang w:val="sr-Cyrl-RS"/>
        </w:rPr>
        <w:t xml:space="preserve">/20</w:t>
      </w:r>
      <w:r>
        <w:rPr>
          <w:rFonts w:cs="Times New Roman"/>
          <w:b/>
          <w:bCs/>
          <w:sz w:val="22"/>
          <w:szCs w:val="22"/>
          <w:lang w:val="sr-Cyrl-RS"/>
        </w:rPr>
        <w:t xml:space="preserve">-</w:t>
      </w:r>
      <w:r>
        <w:rPr>
          <w:rFonts w:cs="Times New Roman" w:hint="default"/>
          <w:b/>
          <w:bCs/>
          <w:sz w:val="22"/>
          <w:szCs w:val="22"/>
          <w:lang w:val="sr-Latn-RS"/>
        </w:rPr>
        <w:t xml:space="preserve">IV</w:t>
      </w:r>
      <w:r>
        <w:rPr>
          <w:rFonts w:cs="Times New Roman" w:hint="default"/>
          <w:b/>
          <w:bCs/>
          <w:sz w:val="22"/>
          <w:szCs w:val="22"/>
          <w:lang w:val="sr-Cyrl-RS"/>
        </w:rPr>
        <w:t xml:space="preserve">-01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  <w:lang w:val="en-US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RS"/>
        </w:rPr>
        <w:t xml:space="preserve">Дана:</w:t>
      </w:r>
      <w:r>
        <w:rPr>
          <w:rFonts w:cs="Times New Roman" w:hint="default"/>
          <w:b/>
          <w:bCs/>
          <w:sz w:val="22"/>
          <w:szCs w:val="22"/>
          <w:lang w:val="sr-Cyrl-RS"/>
        </w:rPr>
        <w:t xml:space="preserve"> </w:t>
      </w:r>
      <w:r>
        <w:rPr>
          <w:rFonts w:cs="Times New Roman" w:hint="default"/>
          <w:b/>
          <w:bCs/>
          <w:sz w:val="22"/>
          <w:szCs w:val="22"/>
          <w:lang w:val="en-US"/>
        </w:rPr>
        <w:t xml:space="preserve">30.11.2020. </w:t>
      </w:r>
      <w:r>
        <w:rPr>
          <w:rFonts w:cs="Times New Roman"/>
          <w:b/>
          <w:bCs/>
          <w:sz w:val="22"/>
          <w:szCs w:val="22"/>
          <w:lang w:val="sr-Cyrl-RS"/>
        </w:rPr>
        <w:t xml:space="preserve">исправљено 12.01.2021.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  <w:t xml:space="preserve">21480 Србобран, Трг Слободе бр. 2.</w:t>
      </w:r>
      <w:r>
        <w:rPr>
          <w:rFonts w:ascii="Times New Roman" w:hAnsi="Times New Roman" w:cs="Times New Roman" w:hint="default"/>
          <w:b/>
          <w:bCs/>
          <w:sz w:val="22"/>
          <w:szCs w:val="22"/>
        </w:rPr>
        <w:t xml:space="preserve"> </w:t>
      </w:r>
      <w:r/>
    </w:p>
    <w:p>
      <w:pPr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</w:pPr>
      <w:r>
        <w:rPr>
          <w:rFonts w:ascii="Times New Roman" w:hAnsi="Times New Roman" w:cs="Times New Roman" w:hint="default"/>
          <w:b/>
          <w:bCs/>
          <w:sz w:val="22"/>
          <w:szCs w:val="22"/>
          <w:lang w:val="sr-Cyrl-CS"/>
        </w:rPr>
        <w:t xml:space="preserve">Тел: 021/ 730-020, Фах: 021/ 731-079</w:t>
      </w:r>
      <w:r/>
    </w:p>
    <w:p>
      <w:pPr>
        <w:pStyle w:val="230"/>
        <w:ind w:left="0" w:right="0"/>
        <w:jc w:val="both"/>
        <w:keepLines w:val="false"/>
        <w:pageBreakBefore w:val="false"/>
        <w:spacing w:lineRule="auto" w:line="240" w:after="0" w:before="0"/>
        <w:widowControl w:val="off"/>
        <w:rPr>
          <w:rFonts w:ascii="Times New Roman" w:hAnsi="Times New Roman" w:cs="Times New Roman" w:hint="default"/>
          <w:sz w:val="22"/>
          <w:szCs w:val="22"/>
          <w:lang w:val="sr-Cyrl-CS"/>
        </w:rPr>
      </w:pPr>
      <w:r>
        <w:rPr>
          <w:rFonts w:ascii="Times New Roman" w:hAnsi="Times New Roman" w:cs="Times New Roman" w:hint="default"/>
          <w:sz w:val="22"/>
          <w:szCs w:val="22"/>
        </w:rPr>
        <w:t xml:space="preserve">E-mail</w:t>
      </w:r>
      <w:r>
        <w:rPr>
          <w:rFonts w:ascii="Times New Roman" w:hAnsi="Times New Roman" w:cs="Times New Roman"/>
          <w:sz w:val="22"/>
          <w:szCs w:val="22"/>
          <w:lang w:val="sr-Cyrl-RS"/>
        </w:rPr>
        <w:t xml:space="preserve">: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ljiljana.belic@srbobran48.rs</w:t>
      </w:r>
      <w:r>
        <w:rPr>
          <w:rFonts w:ascii="Times New Roman" w:hAnsi="Times New Roman" w:cs="Times New Roman" w:hint="default"/>
          <w:sz w:val="22"/>
          <w:szCs w:val="22"/>
        </w:rPr>
      </w:r>
      <w:r/>
    </w:p>
    <w:p>
      <w:pPr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/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На основу Члана 10. Закона о инспекцијском надзору (</w:t>
      </w:r>
      <w:r>
        <w:rPr>
          <w:rFonts w:ascii="Times New Roman" w:hAnsi="Times New Roman" w:cs="Times New Roman" w:eastAsia="Times New Roman"/>
          <w:b w:val="false"/>
          <w:sz w:val="24"/>
          <w:lang w:val="sr-Cyrl-RS"/>
        </w:rPr>
        <w:t xml:space="preserve">"Сл.гласник РС" бр</w:t>
      </w:r>
      <w:r>
        <w:rPr>
          <w:rFonts w:ascii="Times New Roman" w:hAnsi="Times New Roman" w:cs="Times New Roman" w:eastAsia="Times New Roman"/>
          <w:b w:val="false"/>
          <w:i w:val="false"/>
          <w:color w:val="000000" w:themeColor="text1"/>
          <w:sz w:val="24"/>
          <w:lang w:val="sr-Cyrl-RS"/>
        </w:rPr>
        <w:t xml:space="preserve">.</w:t>
      </w:r>
      <w:r>
        <w:rPr>
          <w:rFonts w:ascii="Times New Roman" w:hAnsi="Times New Roman" w:cs="Times New Roman" w:eastAsia="Times New Roman"/>
          <w:i w:val="false"/>
          <w:color w:val="000000" w:themeColor="text1"/>
          <w:sz w:val="24"/>
        </w:rPr>
        <w:t xml:space="preserve">36/2015, 44/2018 - </w:t>
      </w:r>
      <w:r>
        <w:rPr>
          <w:rFonts w:ascii="Times New Roman" w:hAnsi="Times New Roman" w:cs="Times New Roman" w:eastAsia="Times New Roman"/>
          <w:i w:val="false"/>
          <w:color w:val="000000" w:themeColor="text1"/>
          <w:sz w:val="24"/>
          <w:lang w:val="sr-Cyrl-RS"/>
        </w:rPr>
        <w:t xml:space="preserve">др. закон и</w:t>
      </w:r>
      <w:r>
        <w:rPr>
          <w:rFonts w:ascii="Times New Roman" w:hAnsi="Times New Roman" w:cs="Times New Roman" w:eastAsia="Times New Roman"/>
          <w:i w:val="false"/>
          <w:color w:val="000000" w:themeColor="text1"/>
          <w:sz w:val="24"/>
        </w:rPr>
        <w:t xml:space="preserve"> 95/2018</w:t>
      </w:r>
      <w:r>
        <w:rPr>
          <w:sz w:val="22"/>
          <w:szCs w:val="22"/>
          <w:lang w:val="sr-Cyrl-RS"/>
        </w:rPr>
        <w:t xml:space="preserve">)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 xml:space="preserve">инспекција је дужна да сачини годишњи плана рада инспекцијског надзора,који се спроводи кроз оперативне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 xml:space="preserve">(полугодишње,</w:t>
      </w:r>
      <w:r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sr-Cyrl-RS"/>
        </w:rPr>
        <w:t xml:space="preserve">тромесечне и месечне) планове инспекцијског надзора.</w:t>
      </w:r>
      <w:r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sr-Cyrl-RS"/>
        </w:rPr>
        <w:t xml:space="preserve">Овај документ представља план рада инспекције за заштиту животне средине у спровођењу поверених послова инспекцијског надзора и контрола по службеној дужности на подручју општине Србобран.</w:t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p>
      <w:pPr>
        <w:jc w:val="center"/>
        <w:rPr>
          <w:b/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rFonts w:ascii="Times New Roman" w:hAnsi="Times New Roman" w:cs="Times New Roman"/>
          <w:b/>
          <w:bCs/>
          <w:sz w:val="22"/>
          <w:szCs w:val="22"/>
          <w:lang w:val="sr-Cyrl-RS"/>
        </w:rPr>
        <w:t xml:space="preserve">ПЛАН</w:t>
      </w:r>
      <w:r>
        <w:rPr>
          <w:b/>
          <w:bCs/>
          <w:sz w:val="22"/>
          <w:szCs w:val="22"/>
          <w:lang w:val="sr-Cyrl-RS"/>
        </w:rPr>
        <w:t xml:space="preserve"> РАДА ИНСПЕКЦИЈЕ ЗА ЗАШТИТУ ЖИВОТНЕ</w:t>
      </w:r>
      <w:r>
        <w:rPr>
          <w:b/>
          <w:sz w:val="22"/>
          <w:szCs w:val="22"/>
          <w:lang w:val="sr-Cyrl-RS"/>
        </w:rPr>
      </w:r>
      <w:r/>
    </w:p>
    <w:p>
      <w:pPr>
        <w:jc w:val="center"/>
      </w:pPr>
      <w:r>
        <w:rPr>
          <w:b/>
          <w:bCs/>
          <w:sz w:val="22"/>
          <w:szCs w:val="22"/>
          <w:lang w:val="sr-Cyrl-RS"/>
        </w:rPr>
        <w:t xml:space="preserve">СРЕДИНЕ ЗА 20</w:t>
      </w:r>
      <w:r>
        <w:rPr>
          <w:b/>
          <w:bCs/>
          <w:sz w:val="22"/>
          <w:szCs w:val="22"/>
          <w:lang w:val="en-US"/>
        </w:rPr>
        <w:t xml:space="preserve">21</w:t>
      </w:r>
      <w:r>
        <w:rPr>
          <w:b/>
          <w:bCs/>
          <w:sz w:val="22"/>
          <w:szCs w:val="22"/>
          <w:lang w:val="sr-Cyrl-RS"/>
        </w:rPr>
        <w:t xml:space="preserve">.год.</w:t>
      </w:r>
      <w:r>
        <w:rPr>
          <w:b/>
          <w:bCs/>
          <w:sz w:val="22"/>
          <w:szCs w:val="22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/>
    </w:p>
    <w:p>
      <w:pPr>
        <w:jc w:val="both"/>
        <w:rPr>
          <w:b/>
          <w:bCs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/>
    </w:p>
    <w:p>
      <w:pPr>
        <w:jc w:val="left"/>
        <w:rPr>
          <w:b/>
          <w:sz w:val="22"/>
          <w:szCs w:val="22"/>
        </w:rPr>
      </w:pPr>
      <w:r>
        <w:rPr>
          <w:b/>
          <w:bCs/>
          <w:sz w:val="22"/>
          <w:szCs w:val="22"/>
          <w:lang w:val="sr-Cyrl-RS"/>
        </w:rPr>
        <w:t xml:space="preserve">Р</w:t>
      </w:r>
      <w:r>
        <w:rPr>
          <w:b/>
          <w:bCs/>
          <w:sz w:val="22"/>
          <w:szCs w:val="22"/>
          <w:lang w:val="sr-Cyrl-RS"/>
        </w:rPr>
        <w:t xml:space="preserve">ЕСУРСИ</w:t>
      </w:r>
      <w:r/>
    </w:p>
    <w:p>
      <w:pPr>
        <w:jc w:val="left"/>
        <w:rPr>
          <w:rFonts w:hint="default"/>
          <w:b/>
          <w:sz w:val="22"/>
          <w:szCs w:val="22"/>
        </w:rPr>
      </w:pPr>
      <w:r>
        <w:rPr>
          <w:b/>
          <w:bCs/>
          <w:sz w:val="22"/>
          <w:szCs w:val="22"/>
          <w:lang w:val="sr-Cyrl-RS"/>
        </w:rPr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highlight w:val="yellow"/>
        </w:rPr>
      </w:pPr>
      <w:r>
        <w:rPr>
          <w:rFonts w:hint="default"/>
          <w:sz w:val="22"/>
          <w:szCs w:val="22"/>
          <w:lang w:val="sr-Cyrl-RS"/>
        </w:rPr>
        <w:t xml:space="preserve">Послове надзора из надлежности инспекције за заштиту животне средине обавља један инспектор, висока школска спрема</w:t>
      </w:r>
      <w:r>
        <w:rPr>
          <w:sz w:val="22"/>
          <w:szCs w:val="22"/>
          <w:lang w:val="en-US"/>
        </w:rPr>
        <w:t xml:space="preserve">, </w:t>
      </w:r>
      <w:r>
        <w:rPr>
          <w:sz w:val="22"/>
          <w:szCs w:val="22"/>
          <w:lang w:val="sr-Cyrl-RS"/>
        </w:rPr>
        <w:t xml:space="preserve">звање сарадник</w:t>
      </w:r>
      <w:r>
        <w:rPr>
          <w:sz w:val="22"/>
          <w:szCs w:val="22"/>
          <w:lang w:val="sr-Cyrl-RS"/>
        </w:rPr>
        <w:t xml:space="preserve">, </w:t>
      </w:r>
      <w:r>
        <w:rPr>
          <w:sz w:val="22"/>
          <w:szCs w:val="22"/>
          <w:lang w:val="sr-Cyrl-RS"/>
        </w:rPr>
        <w:t xml:space="preserve">решењем обавља и послове просветног инспектора и интерресорне комисије, мења колегу на боловању. Постоји велика шанса да тако и остане током целе 2021. године.</w:t>
      </w:r>
      <w:r>
        <w:rPr>
          <w:highlight w:val="yellow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  <w:t xml:space="preserve">У раду инспектор ће користити: компјутер, фото апарат (паметни телефон), штампач, аутомобил, редово посећивати семинаре и тренинге.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  <w:t xml:space="preserve">Неопходно је омогућити инспектору лиценцу за параграф лекс, приступ Е-управи и издвојене канцеларије за инспекторе.</w:t>
      </w:r>
      <w:r>
        <w:rPr>
          <w:sz w:val="22"/>
          <w:szCs w:val="22"/>
          <w:lang w:val="sr-Cyrl-RS"/>
        </w:rPr>
      </w:r>
      <w:r/>
    </w:p>
    <w:p>
      <w:pPr>
        <w:jc w:val="both"/>
        <w:spacing w:lineRule="auto" w:line="240" w:after="0"/>
        <w:rPr>
          <w:rFonts w:cs="Calibri"/>
          <w:sz w:val="22"/>
          <w:szCs w:val="24"/>
        </w:rPr>
      </w:pPr>
      <w:r>
        <w:rPr>
          <w:sz w:val="22"/>
          <w:szCs w:val="22"/>
          <w:lang w:val="sr-Cyrl-RS"/>
        </w:rPr>
      </w:r>
      <w:r>
        <w:rPr>
          <w:rFonts w:cs="Calibri"/>
          <w:sz w:val="22"/>
          <w:szCs w:val="24"/>
        </w:rPr>
        <w:t xml:space="preserve">Осим планираних активности које се спроводе Планом, а везане су за инспекцијски надзор, едукације, предвиђене састанке, извршење управних мера и контролу истих у оквиру рада инспекције заштите животне средине, спроводе се и непланиране активности за које је такође потребно планирати време.</w:t>
      </w:r>
      <w:r>
        <w:rPr>
          <w:sz w:val="22"/>
        </w:rPr>
      </w:r>
      <w:r/>
    </w:p>
    <w:p>
      <w:pPr>
        <w:jc w:val="both"/>
        <w:spacing w:lineRule="auto" w:line="240" w:after="0"/>
        <w:rPr>
          <w:rFonts w:cs="Calibri"/>
          <w:sz w:val="22"/>
        </w:rPr>
      </w:pPr>
      <w:r>
        <w:rPr>
          <w:rFonts w:cs="Calibri"/>
          <w:sz w:val="22"/>
          <w:szCs w:val="24"/>
        </w:rPr>
        <w:t xml:space="preserve">Непланиране активности се одмах извршавају, а односе се на пријаве грађана, запримљене електронском поштом, телефонским пријавама као и непосредним</w:t>
      </w:r>
      <w:r>
        <w:rPr>
          <w:rFonts w:cs="Calibri"/>
          <w:sz w:val="22"/>
          <w:szCs w:val="24"/>
        </w:rPr>
        <w:t xml:space="preserve"> запажањем инспектора на терену</w:t>
      </w:r>
      <w:r>
        <w:rPr>
          <w:rFonts w:cs="Calibri"/>
          <w:sz w:val="22"/>
          <w:szCs w:val="24"/>
          <w:lang w:val="sr-Cyrl-RS"/>
        </w:rPr>
        <w:t xml:space="preserve">.</w:t>
      </w:r>
      <w:r>
        <w:rPr>
          <w:sz w:val="22"/>
        </w:rPr>
      </w:r>
      <w:r/>
    </w:p>
    <w:p>
      <w:pPr>
        <w:jc w:val="both"/>
        <w:spacing w:lineRule="auto" w:line="240" w:after="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  <w:lang w:val="sr-Cyrl-RS"/>
        </w:rPr>
      </w:r>
      <w:r>
        <w:rPr>
          <w:rFonts w:cs="Calibri"/>
          <w:sz w:val="24"/>
          <w:szCs w:val="24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  <w:t xml:space="preserve">У 20</w:t>
      </w:r>
      <w:r>
        <w:rPr>
          <w:b/>
          <w:bCs/>
          <w:sz w:val="22"/>
          <w:szCs w:val="22"/>
          <w:lang w:val="en-US"/>
        </w:rPr>
        <w:t xml:space="preserve">2</w:t>
      </w:r>
      <w:r>
        <w:rPr>
          <w:b/>
          <w:bCs/>
          <w:sz w:val="22"/>
          <w:szCs w:val="22"/>
          <w:lang w:val="sr-Cyrl-RS"/>
        </w:rPr>
        <w:t xml:space="preserve">1</w:t>
      </w:r>
      <w:r>
        <w:rPr>
          <w:b/>
          <w:bCs/>
          <w:sz w:val="22"/>
          <w:szCs w:val="22"/>
          <w:lang w:val="sr-Cyrl-RS"/>
        </w:rPr>
        <w:t xml:space="preserve">. години инспектор ће вршити и:</w:t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-послове просветног инспектора и 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-послове координатора интерресорне комисије,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lang w:val="sr-Cyrl-RS"/>
        </w:rPr>
      </w:pPr>
      <w:r>
        <w:rPr>
          <w:sz w:val="22"/>
          <w:szCs w:val="22"/>
          <w:lang w:val="sr-Cyrl-RS"/>
        </w:rPr>
        <w:t xml:space="preserve">-послове комуналног инспектора у контроли мера кризног штаба ради спречавања заразе изазване </w:t>
      </w:r>
      <w:r>
        <w:rPr>
          <w:sz w:val="22"/>
          <w:szCs w:val="22"/>
          <w:lang w:val="en-US"/>
        </w:rPr>
        <w:t xml:space="preserve">COVID 19 </w:t>
      </w:r>
      <w:r>
        <w:rPr>
          <w:sz w:val="22"/>
          <w:szCs w:val="22"/>
          <w:lang w:val="sr-Cyrl-RS"/>
        </w:rPr>
        <w:t xml:space="preserve">вирусом.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  <w:t xml:space="preserve">У табели 1. је приказана расподела послова 1 извршиоца инспектора ЗЖС, који има и друга задужења у току 365 дана. 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tbl>
      <w:tblPr>
        <w:tblStyle w:val="193"/>
        <w:tblW w:w="9576" w:type="dxa"/>
        <w:tblLook w:val="04A0" w:firstRow="1" w:lastRow="0" w:firstColumn="1" w:lastColumn="0" w:noHBand="0" w:noVBand="1"/>
      </w:tblPr>
      <w:tblGrid>
        <w:gridCol w:w="7479"/>
        <w:gridCol w:w="2097"/>
      </w:tblGrid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дана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Укупан број дана у години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365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Викенди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104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Годишњи одмори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30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Празници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8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Боловање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</w:rPr>
              <w:t xml:space="preserve">7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b/>
                <w:sz w:val="22"/>
                <w:szCs w:val="24"/>
              </w:rPr>
              <w:t xml:space="preserve">УКУПНО РАДНИХ ДАНА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b/>
                <w:sz w:val="22"/>
              </w:rPr>
              <w:t xml:space="preserve">2</w:t>
            </w:r>
            <w:r>
              <w:rPr>
                <w:b/>
                <w:sz w:val="22"/>
              </w:rPr>
              <w:t xml:space="preserve">16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vMerge w:val="restart"/>
            <w:textDirection w:val="lrTb"/>
            <w:noWrap w:val="false"/>
          </w:tcPr>
          <w:p>
            <w:pPr>
              <w:rPr>
                <w:sz w:val="22"/>
                <w:szCs w:val="24"/>
              </w:rPr>
            </w:pPr>
            <w:r>
              <w:rPr>
                <w:sz w:val="22"/>
                <w:lang w:val="sr-Cyrl-RS"/>
              </w:rPr>
              <w:t xml:space="preserve">Кооридинатор интерресорне комисије</w:t>
            </w:r>
            <w:r>
              <w:rPr>
                <w:sz w:val="22"/>
                <w:lang w:val="sr-Cyrl-RS"/>
              </w:rPr>
            </w:r>
            <w:r/>
          </w:p>
        </w:tc>
        <w:tc>
          <w:tcPr>
            <w:shd w:val="clear" w:color="auto" w:fill="FFFFFF"/>
            <w:tcW w:w="2097" w:type="dxa"/>
            <w:vMerge w:val="restart"/>
            <w:textDirection w:val="lrTb"/>
            <w:noWrap w:val="false"/>
          </w:tcPr>
          <w:p>
            <w:pPr>
              <w:jc w:val="center"/>
              <w:rPr>
                <w:sz w:val="22"/>
                <w:szCs w:val="24"/>
              </w:rPr>
            </w:pPr>
            <w:r>
              <w:rPr>
                <w:sz w:val="22"/>
                <w:lang w:val="sr-Cyrl-RS"/>
              </w:rPr>
              <w:t xml:space="preserve">25</w:t>
            </w:r>
            <w:r>
              <w:rPr>
                <w:sz w:val="22"/>
                <w:lang w:val="sr-Cyrl-RS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Просветни инспектор</w:t>
            </w:r>
            <w:r>
              <w:rPr>
                <w:sz w:val="22"/>
                <w:szCs w:val="24"/>
              </w:rPr>
              <w:t xml:space="preserve"> по овлашћењу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55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Комунални инспектор по овлашћењу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lang w:val="sr-Cyrl-RS"/>
              </w:rPr>
              <w:t xml:space="preserve">30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Инспектор заштите животне средине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lang w:val="sr-Cyrl-RS"/>
              </w:rPr>
              <w:t xml:space="preserve">106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Активности праћења стања, процене ризика, планирања, усклађивања и координације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5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Редовни инспекцијски надзор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75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Ванредни инспекцијски надзор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16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Превентивно деловање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  <w:lang w:val="sr-Cyrl-RS"/>
              </w:rPr>
              <w:t xml:space="preserve">5</w:t>
            </w:r>
            <w:r>
              <w:rPr>
                <w:sz w:val="22"/>
              </w:rPr>
            </w:r>
            <w:r/>
          </w:p>
        </w:tc>
      </w:tr>
      <w:tr>
        <w:trPr/>
        <w:tc>
          <w:tcPr>
            <w:shd w:val="clear" w:color="auto" w:fill="FFFFFF"/>
            <w:tcW w:w="7479" w:type="dxa"/>
            <w:textDirection w:val="lrTb"/>
            <w:noWrap w:val="false"/>
          </w:tcPr>
          <w:p>
            <w:pPr>
              <w:spacing w:lineRule="auto" w:line="240" w:after="0"/>
              <w:tabs>
                <w:tab w:val="left" w:pos="5292" w:leader="none"/>
              </w:tabs>
              <w:rPr>
                <w:sz w:val="22"/>
              </w:rPr>
            </w:pPr>
            <w:r>
              <w:rPr>
                <w:sz w:val="22"/>
                <w:szCs w:val="24"/>
              </w:rPr>
              <w:t xml:space="preserve">Остале активности </w:t>
            </w:r>
            <w:r>
              <w:rPr>
                <w:sz w:val="22"/>
              </w:rPr>
            </w:r>
            <w:r/>
          </w:p>
        </w:tc>
        <w:tc>
          <w:tcPr>
            <w:shd w:val="clear" w:color="auto" w:fill="FFFFFF"/>
            <w:tcW w:w="2097" w:type="dxa"/>
            <w:textDirection w:val="lrTb"/>
            <w:noWrap w:val="false"/>
          </w:tcPr>
          <w:p>
            <w:pPr>
              <w:jc w:val="center"/>
              <w:spacing w:lineRule="auto" w:line="240" w:after="0"/>
              <w:tabs>
                <w:tab w:val="left" w:pos="5292" w:leader="none"/>
              </w:tabs>
              <w:rPr>
                <w:sz w:val="22"/>
                <w:highlight w:val="yellow"/>
              </w:rPr>
            </w:pPr>
            <w:r>
              <w:rPr>
                <w:sz w:val="22"/>
                <w:szCs w:val="24"/>
                <w:lang w:val="sr-Cyrl-RS"/>
              </w:rPr>
              <w:t xml:space="preserve">5</w:t>
            </w:r>
            <w:r>
              <w:rPr>
                <w:sz w:val="22"/>
              </w:rPr>
            </w:r>
            <w:r/>
          </w:p>
        </w:tc>
      </w:tr>
    </w:tbl>
    <w:p>
      <w:pPr>
        <w:jc w:val="center"/>
        <w:rPr>
          <w:i/>
          <w:sz w:val="22"/>
          <w:szCs w:val="22"/>
        </w:rPr>
      </w:pPr>
      <w:r>
        <w:rPr>
          <w:i/>
          <w:sz w:val="22"/>
          <w:szCs w:val="22"/>
          <w:lang w:val="sr-Cyrl-RS"/>
        </w:rPr>
        <w:t xml:space="preserve">Табела 1.</w:t>
      </w:r>
      <w:r>
        <w:rPr>
          <w:i/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/>
    </w:p>
    <w:p>
      <w:pPr>
        <w:jc w:val="both"/>
        <w:rPr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ЦИЉЕВИ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rFonts w:hint="default"/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>
        <w:rPr>
          <w:b/>
          <w:bCs/>
          <w:sz w:val="22"/>
          <w:szCs w:val="22"/>
          <w:lang w:val="sr-Cyrl-RS"/>
        </w:rPr>
      </w:r>
      <w:r/>
    </w:p>
    <w:p>
      <w:pPr>
        <w:pStyle w:val="185"/>
        <w:numPr>
          <w:ilvl w:val="0"/>
          <w:numId w:val="2"/>
        </w:numPr>
        <w:jc w:val="both"/>
        <w:rPr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Превенција и деловање ради спречавања загађивања животне средине и повећање поштовања еколошких стандарда путем саветодавних посета и налагањем превентивних мера.</w:t>
      </w:r>
      <w:r/>
    </w:p>
    <w:p>
      <w:pPr>
        <w:pStyle w:val="185"/>
        <w:numPr>
          <w:ilvl w:val="0"/>
          <w:numId w:val="2"/>
        </w:numPr>
        <w:jc w:val="both"/>
        <w:rPr>
          <w:rFonts w:hint="default"/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  <w:t xml:space="preserve">Откривање нерегистрованих субјеката.</w:t>
      </w:r>
      <w:r/>
    </w:p>
    <w:p>
      <w:pPr>
        <w:ind w:left="720" w:hanging="0"/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  <w:szCs w:val="22"/>
          <w:lang w:val="sr-Cyrl-RS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НАДЛЕЖНОСТ ПОСТУПАЊА ИНСПЕКЦИЈЕ ЗА ЗАШТИТУ ЖИВОТНЕ СРЕДИНЕ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color w:val="FF0000"/>
          <w:sz w:val="22"/>
        </w:rPr>
      </w:pPr>
      <w:r>
        <w:rPr>
          <w:rFonts w:ascii="Times New Roman" w:hAnsi="Times New Roman" w:cs="Times New Roman" w:eastAsia="Times New Roman"/>
          <w:b/>
          <w:color w:val="FF0000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Темељ за инспекцијске надзоре и службене контроле су: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pStyle w:val="185"/>
        <w:ind w:left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ОСНОВНИ ЗАКОНИ: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општем управном поступку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18/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и 95/2018-аутентично тумачење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инспекцијском надзору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15, 44/2018-др.закон и 95/2018)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локалној самоуправи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гласник РС“,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129/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07, 83/2014-др.закон, 101/2016-др.закон и 47/2018)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ПОСЕБНИ ЗАКОНИ: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заштити животне средине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135/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04,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09,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09-др.закон,    72/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09-др.закон, 43/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11-одлука УС, 14/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16, 76/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18 и 95/2018-др.закон)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прекршајима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65/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13, 13/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 и 98/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16-одлука УС)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процени утицаја на животну средину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135/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04 и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управљању отпадом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09, 88/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10, 14/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 и </w:t>
      </w:r>
      <w:bookmarkStart w:id="0" w:name="__DdeLink__1247_2618251764"/>
      <w:r>
        <w:rPr>
          <w:rFonts w:ascii="Times New Roman" w:hAnsi="Times New Roman" w:cs="Times New Roman" w:eastAsia="Times New Roman"/>
          <w:sz w:val="22"/>
          <w:szCs w:val="24"/>
        </w:rPr>
        <w:t xml:space="preserve">95/2018-др.закон</w:t>
      </w:r>
      <w:bookmarkEnd w:id="0"/>
      <w:r>
        <w:rPr>
          <w:rFonts w:ascii="Times New Roman" w:hAnsi="Times New Roman" w:cs="Times New Roman" w:eastAsia="Times New Roman"/>
          <w:sz w:val="22"/>
          <w:szCs w:val="24"/>
        </w:rPr>
        <w:t xml:space="preserve">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заштити од буке у животној средини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 и 88/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заштити ваздуха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 и 10/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13)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Закон о заштити природе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09, 88/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10, 91/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10, 14/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 и 95/2018-др.закон)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</w:t>
      </w:r>
      <w:bookmarkStart w:id="1" w:name="__DdeLink__1351_504786287"/>
      <w:r>
        <w:rPr>
          <w:rFonts w:ascii="Times New Roman" w:hAnsi="Times New Roman" w:cs="Times New Roman" w:eastAsia="Times New Roman"/>
          <w:sz w:val="22"/>
          <w:szCs w:val="24"/>
        </w:rPr>
        <w:t xml:space="preserve">Закон о интегрисаном спречавању и контроли загађивања животне средине</w:t>
      </w:r>
      <w:bookmarkEnd w:id="1"/>
      <w:r>
        <w:rPr>
          <w:rFonts w:ascii="Times New Roman" w:hAnsi="Times New Roman" w:cs="Times New Roman" w:eastAsia="Times New Roman"/>
          <w:sz w:val="22"/>
          <w:szCs w:val="24"/>
        </w:rPr>
        <w:t xml:space="preserve">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бр. 135/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04, 25/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15)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ПРАВИЛНИЦИ: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методама мерења буке, садржини и обиму извештаја о мерењу буке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72/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методологији за израду националног и локалног регистра извора загађења, као и методологији за врсте, начине и рокове прикупљања података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91/2010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10/2013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и 98/2016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садржини захтева о потреби процене утицаја и садржини захтева за одређивање обима и садржаја студије о процени утицаја на животну средину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69/2005)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обрасцу дневне евиденције и годишњег извештаја о отпаду са упутством за његово попуњавање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95/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 и 88/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15)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категоријама, испитивању и класификацији отпада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бр. 56/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начину и поступку управљања отпадним гумама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104/2009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и 81/2010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Правилник о обрасцу Документа о кретању отпада и упутством за његово попуњавање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114/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13)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УРЕДБЕ: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граничним вредностима емисија загађујућих материја у ваздух из стационарних извора загађивања, осим постројења за сагоревање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11/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15)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мерењима емисије загађујућих материја у ваздуху из стационарних извора загађивања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граничним вредностима емисија загађујућих материја у ваздух из постројења за сагоревање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16)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утврђивању листе пројеката за које је обавезна процена утицаја и листе                                                                пројеката за које се може захтевати процена утицаја на животну средину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 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бр. 114/2008)   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врстама активности и постројења за које се издаје интегрисана дозвола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бр. 84/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05)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утврђивању програма динамике подношења захтева за издавање интегрисане дозволе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108/2008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)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 Уредба о индикаторима буке, граничним вредностима, методама за оцењивање индикатора буке, узнемиравања и штетних ефеката буке у животној средини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75/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10) 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Као и све Уредбе и Правилници донети по основу посебних закона од стране ресорног Министарства.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  <w:szCs w:val="24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УЧЕСТАЛОСТ И ОБУХВАТ ВРШЕЊА ИНСПЕКЦИЈСКОГ НАДЗОРА ПО ОБЛАСТИМА И СВАКОМ ОД СТЕПЕНА РИЗИКА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color w:val="FF0000"/>
          <w:sz w:val="22"/>
        </w:rPr>
      </w:pPr>
      <w:r>
        <w:rPr>
          <w:rFonts w:ascii="Times New Roman" w:hAnsi="Times New Roman" w:cs="Times New Roman" w:eastAsia="Times New Roman"/>
          <w:b/>
          <w:color w:val="FF0000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Годишњи план инспекцијског надзора Инспектора за заштиту животне средине спровешће се на основу процене ризика, уз коришћење алата за процену ризика и одређивање приоритета контроле вршења редовног инспекцијског надзора у одређеним областима животне средине инспекцијског надзора урађене за сваку област животне средине одвојено, који се односе на: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-емисију буке у животној средини према Закону о заштити од буке у животној средини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36/2009 и 88/2010);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-контролу мера утврђених у поступку процене утицаја пројекта на животну средину према Закону о процени утицаја на животну средину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125/2004 и 36/2009);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-контролу услова и мера утврђених у интегрисаним дозволама за рад постројења и обављање активности према Закону о интегрисаном спречавању и контроли загађивања животне средине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3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5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/200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4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и 25/2015);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-услова и мере утврђених у дозволама за управљање неопасним и инертним отпадима издатим од овог органа према Закону о управљању отпадом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36/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09, 88/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10, 14/2016 и 95/2018-др.закон 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-услова и мера утврђених у дозволама за рад у складу са чл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56. Закона о заштити ваздуха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36/2009 и 10/2013);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-услова и мера утврђених актима донетих у складу са Законом о заштити природе (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“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Сл. гласник РС“, бр. 36/2009, 88/2010, 91/2010 </w:t>
        <w:noBreakHyphen/>
        <w:t xml:space="preserve">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исп.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14/2016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и 95/2018-др.закон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);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-оцену мера и поступка за смањење утицаја на животну средини и израду предлога за измену услова утврђених у дозволи као и њену верзију, одузимање или обнављање;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-контролу и праћење мониторинга оператера;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-контрола употребе и коришћења одговарајућих технологија и ефикасног коришћења сировина и енергије за постројења из надлежности општине, при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м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ене прописаних стандарда квалитета и утицаја на животну средину;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-контрола примене прописаних (актима овог органа) мера у случају удеса;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-контролу рада извора загађивања и контрола квалификованог лица одговорног за стручан рад постројења у складу са законским прописима из области заштите животне средине;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-квантификацију утицаја активности надзианог субјекта на животну средину;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-контролу вођења прописаних евиденција и доставе прописаних извештаја надлежним органима;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-сарадњу са правосудним органима, органима државне управе, организационим једницама и службама Општинске управе, стручним институцијама, предузећима и другим субјектима заштите животне средине.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  <w:szCs w:val="24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ПРЕГЛЕД НАДЗИРАНИХ СУБЈЕКАТА КОД КОЈИХ ЋЕ СЕ ВРШИТИ ИНСПЕКЦИЈСКИ НАДЗОР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color w:val="FF0000"/>
          <w:sz w:val="22"/>
        </w:rPr>
      </w:pPr>
      <w:r>
        <w:rPr>
          <w:rFonts w:ascii="Times New Roman" w:hAnsi="Times New Roman" w:cs="Times New Roman" w:eastAsia="Times New Roman"/>
          <w:color w:val="FF0000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За инспекцијски надзор у свакој области животне средине у Табели 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3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 дат је табеларни приказ Плана инспекцијског надзора и активности инспекције за заштиту животне средине са прегледом надзираних субјеката и њиховим делатностима или активностима.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Према потреби и по захтеву странке инспектор за заштиту животне средине ће давати стручну и саветодавну подршку привредним субјектима у складу са законом о инспекцијском надзору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ТЕРИТОРИЈАЛНО ПОДРУЧЈЕ НА КОМЕ ЋЕ СЕ ВРШИТИ ИНСПЕКЦИЈСКИ НАДЗОР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firstLine="270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30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Инспектор за заштиту животне средине надлежан је за вршење инспекцијског надзора над спровођењем мера заштите животне средине на територији општине 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Србобр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а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н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, која обухвата 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3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насељен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а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места</w:t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  <w:t xml:space="preserve">: Србобран, Турију и Надаљ.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/>
    </w:p>
    <w:p>
      <w:pPr>
        <w:ind w:left="540" w:hanging="537"/>
        <w:jc w:val="both"/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  <w:szCs w:val="24"/>
          <w:lang w:val="sr-Cyrl-RS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ПРОЦЕЊЕНИ РИЗИК ЗА НАДЗИРА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НЕ СУБЈЕКТЕ, ОДНОСНО ДЕЛАТНОСТИ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left="540" w:hanging="537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ИЛИ АКТИВНОСТИ КОЈЕ ЋЕ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СЕ НАДЗИРАТИ ИЛИ ТЕРИТОРИЈАЛНО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left="540" w:hanging="537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ПОДРУЧЈЕ И ДРУГУ ТЕРИТОРИЈАЛНУ И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СЛИЧНУ ЦЕЛИНУ, ОБЈЕКАТ И ГРУПЕ 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ОБЈЕКАТА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30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Процена ризика у току припреме Плана инспекцијског надзора вршена је тако што је вршено праћење и анализа стања у области инспекцијског надзора, идентификовани су ризици, права и интереси, који могу настати из пословања или поступања надзираног субјекта на основу чега је вршена процена тежина штетних последица и вероватноћа њиховог настанка, тако да се добије процењени ризик.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Тежина штетних последица процењује се полазећи од: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firstLine="270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-природе штетних последица и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firstLine="270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-обима штетних последица.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У поступку одређивања процене ризика наведених постројења користе се одговарајуће Контролне листе које су доступне на интернет страници: www.ekologija.gov.rs 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На основу извршене процене ризика у свакој области животне средине, сачињен је План инспкецијског надзора инспекције за заштиту животне средине за 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21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годину. 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Листа приоритетних активности инспекције за заштиту животне средине у 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21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години приказана је у Табели 3. овог Плана.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  <w:szCs w:val="24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Све Контролне листе које инспектори користе у редовним инспекцијским надзорима доступне су надзираним субјектима на интернет страници </w:t>
      </w:r>
      <w:hyperlink r:id="rId8" w:history="1">
        <w:r>
          <w:rPr>
            <w:rStyle w:val="235"/>
            <w:rFonts w:ascii="Times New Roman" w:hAnsi="Times New Roman" w:cs="Times New Roman" w:eastAsia="Times New Roman"/>
            <w:color w:val="auto"/>
            <w:sz w:val="22"/>
            <w:szCs w:val="24"/>
          </w:rPr>
          <w:t xml:space="preserve">www.ekologija.gov.rs</w:t>
        </w:r>
      </w:hyperlink>
      <w:r>
        <w:rPr>
          <w:rFonts w:ascii="Times New Roman" w:hAnsi="Times New Roman" w:cs="Times New Roman" w:eastAsia="Times New Roman"/>
          <w:sz w:val="22"/>
          <w:szCs w:val="24"/>
        </w:rPr>
        <w:t xml:space="preserve"> </w:t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  <w:szCs w:val="24"/>
        </w:rPr>
      </w:r>
      <w:r/>
    </w:p>
    <w:p>
      <w:pPr>
        <w:spacing w:lineRule="auto" w:line="240" w:after="0"/>
        <w:rPr>
          <w:rFonts w:ascii="Times New Roman" w:hAnsi="Times New Roman" w:cs="Times New Roman" w:eastAsia="Times New Roman"/>
          <w:b/>
          <w:sz w:val="22"/>
          <w:szCs w:val="30"/>
        </w:rPr>
      </w:pPr>
      <w:r>
        <w:rPr>
          <w:rFonts w:ascii="Times New Roman" w:hAnsi="Times New Roman" w:cs="Times New Roman" w:eastAsia="Times New Roman"/>
          <w:sz w:val="22"/>
        </w:rPr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ПЕРИОД У КОМЕ ЋЕ СЕ ВРШИТИ ИНСПЕКЦИЈСКИ НАДЗОР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firstLine="270"/>
        <w:jc w:val="both"/>
        <w:spacing w:lineRule="auto" w:line="240" w:after="0"/>
        <w:rPr>
          <w:rFonts w:ascii="Times New Roman" w:hAnsi="Times New Roman" w:cs="Times New Roman" w:eastAsia="Times New Roman"/>
          <w:color w:val="FF0000"/>
          <w:sz w:val="22"/>
        </w:rPr>
      </w:pPr>
      <w:r>
        <w:rPr>
          <w:rFonts w:ascii="Times New Roman" w:hAnsi="Times New Roman" w:cs="Times New Roman" w:eastAsia="Times New Roman"/>
          <w:color w:val="FF0000"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Инспектор за заштиту животне средине вршиће инспекцијске надзоре током целе календарске 20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21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.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године.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  <w:szCs w:val="24"/>
        </w:rPr>
        <w:t xml:space="preserve">Инспекцијски надзор вршиће се радним данима у радно време надзираних субјеката, осим у хитним случајевима када се отклања непосредна опасност по живот и здравље људи, имовину веће вредности, животну средину или биљни или животињски свет.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ИНФОРМАЦИЈЕ О 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ОБЛИЦИ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МА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ИНСПЕКЦИЈСКОГ НАДЗОРА</w:t>
      </w:r>
      <w:r>
        <w:rPr>
          <w:rFonts w:ascii="Times New Roman" w:hAnsi="Times New Roman" w:cs="Times New Roman" w:eastAsia="Times New Roman"/>
          <w:b/>
          <w:sz w:val="22"/>
          <w:szCs w:val="30"/>
        </w:rPr>
        <w:t xml:space="preserve"> КОЈИ ЋЕ СЕ ВРШИТИ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ind w:firstLine="270"/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24"/>
        </w:rPr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24"/>
        </w:rPr>
        <w:t xml:space="preserve">Редован 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према годишњем плану инспекцисјког.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24"/>
        </w:rPr>
        <w:t xml:space="preserve">Ванредан 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када је неопходно да се, сагласно делокругу инспекције, предузму хитне мере ради спречавања или отклањања непосредне опасности по живот или здравље људи, имовину, права и интересе запослених и радно ангажованих лица, привреду, животну средину, биљни или животињски свет, јавне приходе, несметан рад органа и организација, комунални ред или безбедност; када се после доношења годишњег плана инспекцијског надзора процени да је ризик висок или критичан или промене околности; када такав надзор захтева надзирани субјекат; када се поступа по представци правног или физичког лица.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24"/>
        </w:rPr>
        <w:t xml:space="preserve">Допунски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</w:t>
      </w:r>
      <w:r>
        <w:rPr>
          <w:rFonts w:ascii="Times New Roman" w:hAnsi="Times New Roman" w:cs="Times New Roman" w:eastAsia="Times New Roman"/>
          <w:b/>
          <w:sz w:val="22"/>
          <w:szCs w:val="24"/>
        </w:rPr>
        <w:t xml:space="preserve">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по службеној дужности или поводом захтева надзираног субјекта, ради утврђивања чињеница које су од значаја за инспекцијски надзор, а које нису утврђене у редовном, ванредном или контролном инспекцијском надзору, с тим да се може извршити само један допунски инспекцијски надзор, у року који не може бити дужи од 30 дана од окончања редовног, ванредног или контролног инспекцијског надзора.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sz w:val="22"/>
          <w:szCs w:val="24"/>
        </w:rPr>
        <w:t xml:space="preserve">Контролни 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ради утврђивања извршених мера које су предложене или наложене над надзираним субјектом у оквиру редовног или ванредног инспекцијског надзора.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i/>
          <w:sz w:val="22"/>
          <w:szCs w:val="24"/>
        </w:rPr>
        <w:t xml:space="preserve">Канцеларијски 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у службеним просторијама инспекције, увидом у акте, податке и документацију надзираног субјекта.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spacing w:lineRule="auto" w:line="240" w:after="0"/>
        <w:rPr>
          <w:rFonts w:ascii="Times New Roman" w:hAnsi="Times New Roman" w:cs="Times New Roman" w:eastAsia="Times New Roman"/>
          <w:sz w:val="22"/>
        </w:rPr>
      </w:pPr>
      <w:r>
        <w:rPr>
          <w:rFonts w:ascii="Times New Roman" w:hAnsi="Times New Roman" w:cs="Times New Roman" w:eastAsia="Times New Roman"/>
          <w:b/>
          <w:i/>
          <w:sz w:val="22"/>
          <w:szCs w:val="24"/>
        </w:rPr>
        <w:t xml:space="preserve">Теренски инспекцијски надзор</w:t>
      </w:r>
      <w:r>
        <w:rPr>
          <w:rFonts w:ascii="Times New Roman" w:hAnsi="Times New Roman" w:cs="Times New Roman" w:eastAsia="Times New Roman"/>
          <w:sz w:val="22"/>
          <w:szCs w:val="24"/>
        </w:rPr>
        <w:t xml:space="preserve"> врши ће се изван службених просторија инспекције, на лицу места и састоји се од непосредног увида у земљиште, објекте, постројења, уређаје, просторије, возила и друга наменска превозна средства, предмете, робу и друге предмете, акте и документацију надзираног субјекта.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rPr>
          <w:rFonts w:ascii="Times New Roman" w:hAnsi="Times New Roman" w:cs="Times New Roman" w:eastAsia="Times New Roman" w:hint="default"/>
          <w:sz w:val="22"/>
          <w:szCs w:val="22"/>
        </w:rPr>
      </w:pPr>
      <w:r>
        <w:rPr>
          <w:rFonts w:ascii="Times New Roman" w:hAnsi="Times New Roman" w:cs="Times New Roman" w:eastAsia="Times New Roman"/>
          <w:sz w:val="22"/>
          <w:szCs w:val="22"/>
          <w:lang w:val="sr-Cyrl-RS"/>
        </w:rPr>
        <w:t xml:space="preserve">                  </w:t>
      </w:r>
      <w:r>
        <w:rPr>
          <w:rFonts w:ascii="Times New Roman" w:hAnsi="Times New Roman" w:cs="Times New Roman" w:eastAsia="Times New Roman"/>
          <w:sz w:val="22"/>
        </w:rPr>
      </w:r>
      <w:r/>
    </w:p>
    <w:p>
      <w:pPr>
        <w:jc w:val="both"/>
        <w:rPr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ПЛАНИРАЊЕ ИНСПЕКЦИЈСКИХ НАДЗОРА</w:t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rFonts w:hint="default"/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</w:rPr>
      </w:pPr>
      <w:r>
        <w:rPr>
          <w:rFonts w:hint="default"/>
          <w:sz w:val="22"/>
          <w:szCs w:val="22"/>
          <w:lang w:val="sr-Cyrl-RS"/>
        </w:rPr>
        <w:t xml:space="preserve">При изради овог Плана инспектор је користио искуства и податке из претходних инспекцијских контр</w:t>
      </w:r>
      <w:r>
        <w:rPr>
          <w:sz w:val="22"/>
          <w:szCs w:val="22"/>
          <w:lang w:val="sr-Cyrl-RS"/>
        </w:rPr>
        <w:t xml:space="preserve">ола </w:t>
      </w:r>
      <w:r>
        <w:rPr>
          <w:sz w:val="22"/>
          <w:szCs w:val="22"/>
          <w:lang w:val="sr-Cyrl-RS"/>
        </w:rPr>
        <w:t xml:space="preserve">и извода из АПР-а на територији Србобран, непосредна сазнања.</w:t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sz w:val="22"/>
          <w:szCs w:val="22"/>
          <w:lang w:val="sr-Cyrl-RS"/>
        </w:rPr>
        <w:t xml:space="preserve">МЕРЕ И АКТИВНОСТИ ПРЕВЕНТИВНОГ ДЕЛОВАЊА ИНСПЕКЦИЈЕ</w:t>
      </w:r>
      <w:r>
        <w:rPr>
          <w:b/>
          <w:sz w:val="22"/>
          <w:szCs w:val="22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sz w:val="22"/>
          <w:szCs w:val="22"/>
          <w:lang w:val="sr-Cyrl-RS"/>
        </w:rPr>
      </w:r>
      <w:r>
        <w:rPr>
          <w:b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</w:rPr>
      </w:pPr>
      <w:r>
        <w:rPr>
          <w:b w:val="false"/>
          <w:sz w:val="22"/>
          <w:szCs w:val="22"/>
          <w:lang w:val="sr-Cyrl-RS"/>
        </w:rPr>
        <w:t xml:space="preserve">Информатор о раду општине Србобран је обављен на сајту општине и у склопу њега и информације о раду и надлежностима инспектора заштите животне средине. У Табели 2.  је дат преглед предузетника и правних лица где ће се вршити службена саветодавна посета.</w:t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</w:r>
      <w:r/>
    </w:p>
    <w:p>
      <w:pPr>
        <w:jc w:val="center"/>
        <w:rPr>
          <w:rFonts w:ascii="Times New Roman" w:hAnsi="Times New Roman" w:cs="Times New Roman" w:eastAsia="Times New Roman"/>
          <w:b w:val="false"/>
          <w:i/>
          <w:sz w:val="22"/>
          <w:szCs w:val="22"/>
        </w:rPr>
      </w:pPr>
      <w:r>
        <w:rPr>
          <w:rFonts w:ascii="Times New Roman" w:hAnsi="Times New Roman" w:cs="Times New Roman" w:eastAsia="Times New Roman"/>
          <w:b w:val="false"/>
          <w:i/>
          <w:sz w:val="22"/>
          <w:szCs w:val="22"/>
          <w:lang w:val="sr-Cyrl-RS"/>
        </w:rPr>
        <w:t xml:space="preserve">Службене саветодавне посете: месец април, Табела 2.</w:t>
      </w:r>
      <w:r>
        <w:rPr>
          <w:i/>
        </w:rPr>
      </w:r>
      <w:r/>
    </w:p>
    <w:tbl>
      <w:tblPr>
        <w:tblStyle w:val="193"/>
        <w:tblW w:w="0" w:type="auto"/>
        <w:tblLook w:val="04A0" w:firstRow="1" w:lastRow="0" w:firstColumn="1" w:lastColumn="0" w:noHBand="0" w:noVBand="1"/>
      </w:tblPr>
      <w:tblGrid>
        <w:gridCol w:w="434"/>
        <w:gridCol w:w="3827"/>
        <w:gridCol w:w="4261"/>
      </w:tblGrid>
      <w:tr>
        <w:trPr/>
        <w:tc>
          <w:tcPr>
            <w:gridSpan w:val="2"/>
            <w:tcW w:w="4261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/>
                <w:i w:val="false"/>
                <w:color w:val="000000"/>
                <w:sz w:val="22"/>
                <w:szCs w:val="20"/>
              </w:rPr>
            </w:pPr>
            <w:r>
              <w:rPr>
                <w:rFonts w:ascii="Times New Roman" w:hAnsi="Times New Roman" w:cs="Times New Roman" w:eastAsia="Times New Roman"/>
                <w:b/>
                <w:i w:val="false"/>
                <w:color w:val="000000"/>
                <w:sz w:val="22"/>
                <w:lang w:val="sr-Cyrl-RS"/>
              </w:rPr>
              <w:t xml:space="preserve">Име надзираног субјекта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sz w:val="22"/>
                <w:lang w:val="sr-Cyrl-RS"/>
              </w:rPr>
              <w:t xml:space="preserve">делатност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textDirection w:val="lrTb"/>
            <w:noWrap w:val="false"/>
          </w:tcPr>
          <w:p>
            <w:pPr>
              <w:jc w:val="center"/>
              <w:widowControl/>
              <w:rPr>
                <w:rFonts w:ascii="Times New Roman" w:hAnsi="Times New Roman" w:cs="Times New Roman" w:eastAsia="Times New Roman"/>
                <w:b w:val="false"/>
                <w:color w:val="000000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bCs w:val="false"/>
                <w:i w:val="false"/>
                <w:color w:val="000000"/>
                <w:sz w:val="22"/>
                <w:szCs w:val="20"/>
                <w:lang w:val="sr-Cyrl-RS"/>
              </w:rPr>
              <w:t xml:space="preserve">1.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</w:rPr>
            </w:r>
            <w:r>
              <w:rPr>
                <w:rFonts w:ascii="Times New Roman" w:hAnsi="Times New Roman" w:cs="Times New Roman" w:eastAsia="Times New Roman"/>
                <w:b w:val="false"/>
                <w:bCs w:val="false"/>
                <w:i w:val="false"/>
                <w:color w:val="000000"/>
                <w:sz w:val="22"/>
                <w:szCs w:val="20"/>
                <w:lang w:val="en-US" w:bidi="ar-SA" w:eastAsia="zh-CN"/>
              </w:rPr>
              <w:t xml:space="preserve">СЗР "АЛ-Кнежевић" Драгутин      Кнежевић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алуминијумска и пвц столарија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sz w:val="22"/>
                <w:lang w:val="sr-Cyrl-RS"/>
              </w:rPr>
              <w:t xml:space="preserve">2.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ПИОНИР АД СРБОБРАН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sz w:val="22"/>
              </w:rPr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Гајење жита (осим пиринча), легуминоза и уљарица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sz w:val="22"/>
                <w:lang w:val="sr-Cyrl-RS"/>
              </w:rPr>
              <w:t xml:space="preserve">3.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МАКС-МОНТИНГ ДОО СРБОБРАН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sz w:val="22"/>
              </w:rPr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Постављање подних и зидних облога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4.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sz w:val="22"/>
                <w:lang w:val="sr-Cyrl-RS"/>
              </w:rPr>
              <w:t xml:space="preserve">Агро-промет доо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Гајење жита (осим пиринча), легуминоза и уљарица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5.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 w:themeColor="text1"/>
                <w:sz w:val="22"/>
              </w:rPr>
            </w:r>
            <w:r>
              <w:rPr>
                <w:rFonts w:ascii="Times New Roman" w:hAnsi="Times New Roman" w:cs="Times New Roman" w:eastAsia="Times New Roman"/>
                <w:b w:val="false"/>
                <w:i w:val="false"/>
                <w:strike w:val="false"/>
                <w:color w:val="000000" w:themeColor="text1"/>
                <w:sz w:val="22"/>
                <w:u w:val="none"/>
              </w:rPr>
              <w:t xml:space="preserve">ГУЛЕНЦ ДОО СРБОБРАН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  <w:szCs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Одржавање и поправка моторних возила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6.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vMerge w:val="restart"/>
            <w:textDirection w:val="lrTb"/>
            <w:noWrap w:val="false"/>
          </w:tcPr>
          <w:p>
            <w:pPr>
              <w:jc w:val="both"/>
              <w:widowControl/>
              <w:rPr>
                <w:rFonts w:ascii="Times New Roman" w:hAnsi="Times New Roman" w:cs="Times New Roman" w:eastAsia="Times New Roman"/>
                <w:b w:val="false"/>
                <w:color w:val="000000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bCs w:val="false"/>
                <w:i w:val="false"/>
                <w:color w:val="000000"/>
                <w:sz w:val="22"/>
                <w:szCs w:val="20"/>
                <w:lang w:val="en-US" w:bidi="ar-SA" w:eastAsia="zh-CN"/>
              </w:rPr>
            </w:r>
            <w:r>
              <w:rPr>
                <w:rFonts w:ascii="Times New Roman" w:hAnsi="Times New Roman" w:cs="Times New Roman" w:eastAsia="Times New Roman"/>
                <w:b w:val="false"/>
                <w:bCs w:val="false"/>
                <w:i w:val="false"/>
                <w:color w:val="000000"/>
                <w:sz w:val="22"/>
                <w:szCs w:val="20"/>
                <w:lang w:val="en-US" w:bidi="ar-SA" w:eastAsia="zh-CN"/>
              </w:rPr>
              <w:t xml:space="preserve">МИKРОМА ДОО СРБОБРАН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Производња мерних, истраживачких и навигационих инструмената</w:t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en-US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и апарата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  <w:tr>
        <w:trPr/>
        <w:tc>
          <w:tcPr>
            <w:tcW w:w="434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7.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3827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color w:val="00000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 w:themeColor="text1"/>
                <w:sz w:val="22"/>
              </w:rPr>
            </w:r>
            <w:r>
              <w:rPr>
                <w:rFonts w:ascii="Times New Roman" w:hAnsi="Times New Roman" w:cs="Times New Roman" w:eastAsia="Times New Roman"/>
                <w:color w:val="000000" w:themeColor="text1"/>
                <w:sz w:val="22"/>
              </w:rPr>
              <w:t xml:space="preserve">РЕММИНГ ДОО</w:t>
            </w:r>
            <w:r>
              <w:rPr>
                <w:rFonts w:ascii="Times New Roman" w:hAnsi="Times New Roman" w:cs="Times New Roman" w:eastAsia="Times New Roman"/>
                <w:color w:val="000000" w:themeColor="text1"/>
                <w:sz w:val="22"/>
                <w:lang w:val="sr-Cyrl-RS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000000" w:themeColor="text1"/>
                <w:sz w:val="22"/>
              </w:rPr>
              <w:t xml:space="preserve">СРБОБРАН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  <w:tc>
          <w:tcPr>
            <w:tcW w:w="4261" w:type="dxa"/>
            <w:vMerge w:val="restart"/>
            <w:textDirection w:val="lrTb"/>
            <w:noWrap w:val="false"/>
          </w:tcPr>
          <w:p>
            <w:pPr>
              <w:rPr>
                <w:rFonts w:ascii="Times New Roman" w:hAnsi="Times New Roman" w:cs="Times New Roman" w:eastAsia="Times New Roman"/>
                <w:b w:val="false"/>
                <w:sz w:val="22"/>
              </w:rPr>
            </w:pP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</w:r>
            <w:r>
              <w:rPr>
                <w:rFonts w:ascii="Times New Roman" w:hAnsi="Times New Roman" w:cs="Times New Roman" w:eastAsia="Times New Roman"/>
                <w:b w:val="false"/>
                <w:sz w:val="22"/>
                <w:lang w:val="sr-Cyrl-RS"/>
              </w:rPr>
              <w:t xml:space="preserve">Производња металних конструкција и делова констра</w:t>
            </w:r>
            <w:r>
              <w:rPr>
                <w:rFonts w:ascii="Times New Roman" w:hAnsi="Times New Roman" w:cs="Times New Roman" w:eastAsia="Times New Roman"/>
                <w:sz w:val="22"/>
              </w:rPr>
            </w:r>
            <w:r/>
          </w:p>
        </w:tc>
      </w:tr>
    </w:tbl>
    <w:p>
      <w:pPr>
        <w:jc w:val="both"/>
        <w:rPr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  <w:t xml:space="preserve">АКТИВНОСТИ У ОКВИРУ ПРОЦЕСА ИНСПЕКЦИЈСКОГ НАДЗОРА</w:t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>
        <w:rPr>
          <w:b/>
          <w:bCs/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b/>
          <w:bCs/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  <w:t xml:space="preserve">    1. Примена закона и других прописа којима се уређује заштита ваздуха од загађења, за које дозволу за изградњу даје надлежни општински орган.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2. Примена закона и других прописа којима се уређује заштита од штетног деловања буке у животној средини,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3. Спровођење мера заштите животне средине дефинисаних студијом о процени утицаја и налагање подношење захтева за одлучивање о потреби израде студије утицаја о процени утицаја на животну средину,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4. Надзор над активностима сакупљања , привременог складиштења и транспорта инерног и неопасног отпада на локацији власника отпада за које надлежни орган општине издаје дозволу,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5. Надзор над управљањем амбалажом и амбалажним отпадом (третман, одлагање, рециклажа)за сва постројења и активности за које дозволу за рад издаје надлежни орган општине.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6. Заштита од нејонизујућег зрачења у објектима за које одобрење за изградњу и почетак рада даје надлежни орган општине.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7. Спровођење мера непосредне заштите, очувања и коришћења заштићених природних добара на заштићеним подручјима који су актом општине проглашени заштићеним подручјима.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8. Вођење посебних евиденција у складу са законом, као и други послови инспекцијског надзора у области заштите животне средине.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9. Вођење управног и извршног поступка.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sz w:val="22"/>
          <w:szCs w:val="22"/>
          <w:lang w:val="sr-Cyrl-RS"/>
        </w:rPr>
        <w:t xml:space="preserve">   10. Доношење управних аката и обављање управних радњи у поступку инспекцијског надзора у области заштите животне средине.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lang w:val="sr-Cyrl-RS"/>
        </w:rPr>
      </w:pPr>
      <w:r>
        <w:rPr>
          <w:sz w:val="22"/>
          <w:szCs w:val="22"/>
          <w:lang w:val="sr-Cyrl-RS"/>
        </w:rPr>
        <w:t xml:space="preserve">   11. Подношење захтева за покретање прекршајног поступка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p>
      <w:pPr>
        <w:jc w:val="both"/>
        <w:rPr>
          <w:sz w:val="22"/>
          <w:lang w:val="sr-Cyrl-RS"/>
        </w:rPr>
      </w:pPr>
      <w:r>
        <w:rPr>
          <w:sz w:val="22"/>
          <w:szCs w:val="22"/>
          <w:lang w:val="sr-Cyrl-RS"/>
        </w:rPr>
        <w:t xml:space="preserve">   12. Припремање извештаја и информација о извршеним инспекцијским надзорима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</w:r>
      <w:r/>
    </w:p>
    <w:tbl>
      <w:tblPr>
        <w:tblStyle w:val="232"/>
        <w:tblW w:w="8352" w:type="dxa"/>
        <w:tblInd w:w="-57" w:type="dxa"/>
        <w:tblBorders>
          <w:left w:val="single" w:sz="4" w:space="0" w:color="auto"/>
          <w:top w:val="single" w:sz="4" w:space="0" w:color="auto"/>
          <w:right w:val="single" w:sz="4" w:space="0" w:color="auto"/>
          <w:bottom w:val="single" w:sz="4" w:space="0" w:color="auto"/>
          <w:insideV w:val="single" w:sz="4" w:space="0" w:color="auto"/>
          <w:insideH w:val="single" w:sz="4" w:space="0" w:color="auto"/>
        </w:tblBorders>
        <w:tblLayout w:type="fixed"/>
        <w:tblCellMar>
          <w:left w:w="15" w:type="dxa"/>
          <w:top w:w="15" w:type="dxa"/>
          <w:right w:w="15" w:type="dxa"/>
          <w:bottom w:w="15" w:type="dxa"/>
        </w:tblCellMar>
        <w:tblLook w:val="04A0" w:firstRow="1" w:lastRow="0" w:firstColumn="1" w:lastColumn="0" w:noHBand="0" w:noVBand="1"/>
      </w:tblPr>
      <w:tblGrid>
        <w:gridCol w:w="261"/>
        <w:gridCol w:w="1061"/>
        <w:gridCol w:w="969"/>
        <w:gridCol w:w="969"/>
        <w:gridCol w:w="946"/>
        <w:gridCol w:w="251"/>
        <w:gridCol w:w="218"/>
        <w:gridCol w:w="327"/>
        <w:gridCol w:w="327"/>
        <w:gridCol w:w="327"/>
        <w:gridCol w:w="327"/>
        <w:gridCol w:w="327"/>
        <w:gridCol w:w="479"/>
        <w:gridCol w:w="285"/>
        <w:gridCol w:w="327"/>
        <w:gridCol w:w="446"/>
        <w:gridCol w:w="505"/>
      </w:tblGrid>
      <w:tr>
        <w:trPr>
          <w:trHeight w:val="280"/>
        </w:trPr>
        <w:tc>
          <w:tcPr>
            <w:gridSpan w:val="17"/>
            <w:tcW w:w="8352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b/>
                <w:i w:val="false"/>
                <w:color w:val="000000"/>
                <w:sz w:val="18"/>
                <w:szCs w:val="18"/>
              </w:rPr>
            </w:pPr>
            <w:r>
              <w:rPr>
                <w:rFonts w:ascii="Arial" w:hAnsi="Arial" w:cs="Arial" w:eastAsia="SimSun"/>
                <w:b/>
                <w:i w:val="false"/>
                <w:color w:val="000000"/>
                <w:sz w:val="18"/>
                <w:lang w:val="sr-Cyrl-RS"/>
              </w:rPr>
              <w:t xml:space="preserve">РЕДОВАН ИНСПЕКЦИЈСКИ НАДЗОР</w:t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/>
                <w:b/>
                <w:bCs w:val="false"/>
                <w:i w:val="false"/>
                <w:color w:val="000000"/>
                <w:sz w:val="18"/>
                <w:szCs w:val="18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18"/>
                <w:szCs w:val="18"/>
                <w:lang w:val="en-US" w:bidi="ar-SA" w:eastAsia="zh-CN"/>
              </w:rPr>
              <w:t xml:space="preserve">Р.бр.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18"/>
                <w:szCs w:val="18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18"/>
                <w:szCs w:val="18"/>
                <w:lang w:val="en-US" w:bidi="ar-SA" w:eastAsia="zh-CN"/>
              </w:rPr>
              <w:t xml:space="preserve">Назив постројења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b/>
                <w:sz w:val="20"/>
              </w:rPr>
            </w:pPr>
            <w:r>
              <w:rPr>
                <w:b/>
                <w:sz w:val="20"/>
                <w:lang w:val="sr-Cyrl-RS"/>
              </w:rPr>
              <w:t xml:space="preserve">делатност</w:t>
            </w:r>
            <w:r>
              <w:rPr>
                <w:b/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b/>
                <w:i w:val="false"/>
                <w:color w:val="000000"/>
                <w:sz w:val="18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18"/>
                <w:lang w:val="sr-Cyrl-RS"/>
              </w:rPr>
              <w:t xml:space="preserve">Степен ризика</w:t>
            </w:r>
            <w:r>
              <w:rPr>
                <w:rFonts w:ascii="Arial" w:hAnsi="Arial" w:cs="Arial"/>
                <w:b/>
                <w:i w:val="false"/>
                <w:color w:val="000000"/>
                <w:sz w:val="18"/>
              </w:rPr>
            </w:r>
            <w:r/>
          </w:p>
        </w:tc>
        <w:tc>
          <w:tcPr>
            <w:tcW w:w="946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18"/>
                <w:szCs w:val="18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18"/>
                <w:szCs w:val="18"/>
                <w:lang w:val="sr-Cyrl-RS"/>
              </w:rPr>
              <w:t xml:space="preserve">број надзора</w:t>
            </w:r>
            <w:r/>
          </w:p>
        </w:tc>
        <w:tc>
          <w:tcPr>
            <w:gridSpan w:val="12"/>
            <w:tcW w:w="41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18"/>
                <w:szCs w:val="18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18"/>
                <w:szCs w:val="18"/>
                <w:lang w:val="en-US" w:bidi="ar-SA" w:eastAsia="zh-CN"/>
              </w:rPr>
              <w:t xml:space="preserve">MЕСЕЦ РАДА</w:t>
            </w:r>
            <w:r/>
          </w:p>
          <w:p>
            <w:pPr>
              <w:rPr>
                <w:rFonts w:ascii="Arial" w:hAnsi="Arial" w:cs="Arial" w:eastAsia="SimSun"/>
                <w:b/>
                <w:i w:val="false"/>
                <w:color w:val="000000"/>
                <w:sz w:val="18"/>
                <w:szCs w:val="18"/>
                <w:lang w:val="en-US" w:bidi="ar-SA" w:eastAsia="zh-CN"/>
              </w:rPr>
            </w:pPr>
            <w:r>
              <w:rPr>
                <w:rFonts w:ascii="Arial" w:hAnsi="Arial" w:cs="Arial" w:eastAsia="SimSun"/>
                <w:b/>
                <w:i w:val="false"/>
                <w:color w:val="000000"/>
                <w:sz w:val="18"/>
                <w:lang w:val="en-US" w:bidi="ar-SA" w:eastAsia="zh-CN"/>
              </w:rPr>
            </w:r>
            <w:r>
              <w:rPr>
                <w:rFonts w:ascii="Arial" w:hAnsi="Arial" w:cs="Arial" w:eastAsia="SimSun"/>
                <w:b/>
                <w:i w:val="false"/>
                <w:color w:val="000000"/>
                <w:sz w:val="18"/>
                <w:lang w:val="en-US" w:bidi="ar-SA" w:eastAsia="zh-CN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pPr>
              <w:jc w:val="left"/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I</w:t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II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III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IV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V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VI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VII</w:t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VIII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IX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X</w:t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XI</w:t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b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b/>
                <w:i w:val="false"/>
                <w:color w:val="000000"/>
                <w:sz w:val="20"/>
                <w:lang w:val="en-US" w:bidi="ar-SA" w:eastAsia="zh-CN"/>
              </w:rPr>
              <w:t xml:space="preserve">XII</w:t>
            </w:r>
            <w:r>
              <w:rPr>
                <w:rFonts w:ascii="Arial" w:hAnsi="Arial" w:cs="Arial" w:eastAsia="SimSun"/>
                <w:b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1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  <w:t xml:space="preserve">МАТИЋ ЕНЕРГО ДОО СРБОБРАН</w:t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Производња електричне енергије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left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б,в,о,с</w:t>
            </w: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Latn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Latn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both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Latn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344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699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2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Рос метал доо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>
              <w:rPr>
                <w:rFonts w:ascii="Arial" w:hAnsi="Arial" w:cs="Arial" w:eastAsia="Arial"/>
                <w:color w:val="333333"/>
                <w:sz w:val="20"/>
              </w:rPr>
              <w:t xml:space="preserve">Третман и одлагање отпада који није опасан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r>
            <w:r/>
          </w:p>
          <w:p>
            <w:pP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  <w:t xml:space="preserve">о,с</w:t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52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3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АД "Војводинапут - Бачкапут"    Нови Сад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асфалтна база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left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о,в,с</w:t>
            </w: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361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752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4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КЛОБУК ДОО СРБОБРАН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  <w:t xml:space="preserve">Поновна употреба разврстаних материјала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  <w:p>
            <w:r/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о,с</w:t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4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5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 w:bidi="ar-SA" w:eastAsia="zh-CN"/>
              </w:rPr>
              <w:t xml:space="preserve">ДОО ФРЕ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 w:bidi="ar-SA" w:eastAsia="zh-CN"/>
              </w:rPr>
              <w:t xml:space="preserve">ШГРО ЕНЕРЏИ СРБОБРАН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 w:bidi="ar-SA" w:eastAsia="zh-CN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Производња електричне енергије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о,в,б,с</w:t>
            </w: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527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36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6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  <w:lang w:val="en-US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r>
              <w:rPr>
                <w:rFonts w:ascii="Calibri" w:hAnsi="Calibri" w:cs="Calibri" w:eastAsia="Calibri"/>
                <w:b/>
                <w:i w:val="false"/>
                <w:strike w:val="false"/>
                <w:color w:val="000000"/>
                <w:sz w:val="22"/>
                <w:u w:val="none"/>
                <w:lang w:val="sr-Cyrl-RS"/>
              </w:rPr>
              <w:t xml:space="preserve">ЕКОПАК РЕЦИКЛАЖА</w:t>
            </w:r>
            <w:r>
              <w:rPr>
                <w:b/>
              </w:rPr>
              <w:t xml:space="preserve"> 021 </w:t>
            </w:r>
            <w:r>
              <w:rPr>
                <w:rFonts w:ascii="Calibri" w:hAnsi="Calibri" w:cs="Calibri" w:eastAsia="Calibri"/>
                <w:b/>
                <w:i w:val="false"/>
                <w:strike w:val="false"/>
                <w:color w:val="000000"/>
                <w:sz w:val="22"/>
                <w:u w:val="none"/>
                <w:lang w:val="sr-Cyrl-RS"/>
              </w:rPr>
              <w:t xml:space="preserve">ДОО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r>
              <w:rPr>
                <w:rFonts w:ascii="Calibri" w:hAnsi="Calibri" w:cs="Calibri" w:eastAsia="Calibri"/>
                <w:b w:val="false"/>
                <w:i w:val="false"/>
                <w:strike w:val="false"/>
                <w:color w:val="000000"/>
                <w:sz w:val="22"/>
                <w:u w:val="none"/>
                <w:lang w:val="sr-Cyrl-RS"/>
              </w:rPr>
              <w:t xml:space="preserve">Поновна употреба разврстаних материјала</w:t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  <w:p>
            <w:pP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left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lang w:val="sr-Cyrl-RS"/>
              </w:rPr>
              <w:t xml:space="preserve">о,в,с</w:t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544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7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ДЕМАКС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 доо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sz w:val="20"/>
              </w:rPr>
            </w:pPr>
            <w:r>
              <w:rPr>
                <w:rFonts w:ascii="Arial" w:hAnsi="Arial" w:cs="Arial" w:eastAsia="Arial"/>
                <w:b w:val="false"/>
                <w:sz w:val="20"/>
                <w:lang w:val="sr-Cyrl-RS"/>
              </w:rPr>
            </w:r>
            <w:r>
              <w:rPr>
                <w:rFonts w:ascii="Arial" w:hAnsi="Arial" w:cs="Arial" w:eastAsia="Arial"/>
                <w:b w:val="false"/>
                <w:sz w:val="20"/>
                <w:lang w:val="sr-Cyrl-RS"/>
              </w:rPr>
              <w:t xml:space="preserve">Гајење жита (осим пиринча), легуминоза и уљарица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sr-Cyrl-R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lang w:val="sr-Cyrl-RS"/>
              </w:rPr>
              <w:t xml:space="preserve">о,в,с</w:t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527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38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8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БЕСТ СИД</w:t>
            </w: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sr-Latn-RS" w:bidi="ar-SA" w:eastAsia="zh-CN"/>
              </w:rPr>
              <w:t xml:space="preserve">”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 </w:t>
            </w: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доо</w:t>
            </w:r>
            <w:r/>
          </w:p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sz w:val="20"/>
              </w:rPr>
            </w:pPr>
            <w:r>
              <w:rPr>
                <w:rFonts w:ascii="Arial" w:hAnsi="Arial" w:cs="Arial" w:eastAsia="Arial"/>
                <w:b w:val="false"/>
                <w:sz w:val="20"/>
                <w:lang w:val="sr-Cyrl-RS"/>
              </w:rPr>
            </w:r>
            <w:r>
              <w:rPr>
                <w:rFonts w:ascii="Arial" w:hAnsi="Arial" w:cs="Arial" w:eastAsia="Arial"/>
                <w:b w:val="false"/>
                <w:sz w:val="20"/>
                <w:lang w:val="sr-Cyrl-RS"/>
              </w:rPr>
              <w:t xml:space="preserve">Гајење жита (осим пиринча), легуминоза и уљарица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средњи</w:t>
            </w:r>
            <w:r/>
          </w:p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color w:val="00000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  <w:lang w:val="sr-Cyrl-RS"/>
              </w:rPr>
              <w:t xml:space="preserve">2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о, б, </w:t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385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с, в</w:t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74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9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r>
              <w:rPr>
                <w:rFonts w:ascii="Calibri" w:hAnsi="Calibri" w:cs="Calibri" w:eastAsia="Calibri"/>
                <w:b/>
                <w:i w:val="false"/>
                <w:strike w:val="false"/>
                <w:color w:val="000000"/>
                <w:sz w:val="22"/>
                <w:u w:val="none"/>
                <w:lang w:val="sr-Cyrl-RS"/>
              </w:rPr>
              <w:t xml:space="preserve">ЛИВПРОДУКТ ДОО </w:t>
            </w:r>
            <w:r>
              <w:rPr>
                <w:rFonts w:ascii="Calibri" w:hAnsi="Calibri" w:cs="Calibri" w:eastAsia="Calibri"/>
                <w:b/>
                <w:i w:val="false"/>
                <w:strike w:val="false"/>
                <w:color w:val="000000"/>
                <w:sz w:val="22"/>
                <w:u w:val="none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r>
              <w:rPr>
                <w:rFonts w:ascii="Calibri" w:hAnsi="Calibri" w:cs="Calibri" w:eastAsia="Calibri"/>
                <w:b w:val="false"/>
                <w:i w:val="false"/>
                <w:strike w:val="false"/>
                <w:color w:val="000000"/>
                <w:sz w:val="22"/>
                <w:u w:val="none"/>
                <w:lang w:val="sr-Cyrl-RS"/>
              </w:rPr>
              <w:t xml:space="preserve">Поновна употреба разврстаних материјала</w:t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в, с, б</w:t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38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74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643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0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"РЕАХЕМ" доо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Arial"/>
                <w:color w:val="333333"/>
                <w:sz w:val="20"/>
              </w:rPr>
              <w:t xml:space="preserve">Дестилација, пречишћавање и мешање пића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висок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3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в</w:t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  <w:t xml:space="preserve">x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  <w:t xml:space="preserve">x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432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Latn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Latn-RS"/>
              </w:rPr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Latn-RS"/>
              </w:rPr>
              <w:t xml:space="preserve">ЦИГЛАНА ДОО СРБОБРАН</w:t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  <w:t xml:space="preserve">Производња опeкe, црeпа и грађeвинских производа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  <w:p>
            <w:pPr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с, б, в</w:t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395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375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eastAsia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 w:eastAsia="Arial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2</w:t>
            </w:r>
            <w:r>
              <w:rPr>
                <w:sz w:val="20"/>
              </w:rPr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 w:eastAsia="Arial"/>
                <w:sz w:val="20"/>
              </w:rPr>
            </w:pPr>
            <w:r>
              <w:rPr>
                <w:rFonts w:ascii="Arial" w:hAnsi="Arial" w:cs="Arial" w:eastAsia="Arial"/>
                <w:b/>
                <w:sz w:val="20"/>
              </w:rPr>
              <w:t xml:space="preserve">ЕУРОЕТИЛ ДОО СРБОБРАН</w:t>
            </w:r>
            <w:r>
              <w:rPr>
                <w:sz w:val="20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  <w:t xml:space="preserve">Дестилација, пречишћавање и мешање пића</w:t>
            </w:r>
            <w:r>
              <w:rPr>
                <w:rFonts w:ascii="Arial" w:hAnsi="Arial" w:cs="Arial" w:eastAsia="Arial"/>
                <w:sz w:val="20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lang w:val="en-US" w:bidi="ar-SA" w:eastAsia="zh-CN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о, б, с, в</w:t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3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Југо коп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асфалтна база</w:t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в, с, б</w:t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both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4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Екстра фарм ДОО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узгој свиња</w:t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color w:val="000000"/>
                <w:sz w:val="20"/>
                <w:lang w:val="sr-Cyrl-RS"/>
              </w:rPr>
              <w:t xml:space="preserve">средњи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2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в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с, и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5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"Туринка</w:t>
            </w: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en-US" w:bidi="ar-SA" w:eastAsia="zh-CN"/>
              </w:rPr>
              <w:t xml:space="preserve">" доо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Arial"/>
                <w:b w:val="false"/>
                <w:sz w:val="20"/>
                <w:lang w:val="sr-Cyrl-RS"/>
              </w:rPr>
              <w:t xml:space="preserve">Гајење жита (осим пиринча), легуминоза и уљарица</w:t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color w:val="000000"/>
                <w:sz w:val="20"/>
                <w:lang w:val="sr-Cyrl-RS"/>
              </w:rPr>
              <w:t xml:space="preserve">средњи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2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в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с, и 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6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Austrotherm doo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highlight w:val="yellow"/>
                <w:lang w:val="en-US" w:bidi="ar-SA" w:eastAsia="zh-CN"/>
              </w:rPr>
            </w:r>
            <w:r>
              <w:rPr>
                <w:rFonts w:ascii="Arial" w:hAnsi="Arial" w:cs="Arial" w:eastAsia="Arial"/>
                <w:color w:val="333333"/>
                <w:sz w:val="20"/>
              </w:rPr>
              <w:t xml:space="preserve">Производња пластичних маса у примарним облицима</w:t>
            </w:r>
            <w:r>
              <w:rPr>
                <w:sz w:val="20"/>
                <w:highlight w:val="yellow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  <w:highlight w:val="yellow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highlight w:val="yellow"/>
                <w:lang w:val="sr-Cyrl-RS" w:bidi="ar-SA" w:eastAsia="zh-CN"/>
              </w:rPr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  <w:t xml:space="preserve">низак</w:t>
            </w:r>
            <w:r>
              <w:rPr>
                <w:highlight w:val="yellow"/>
              </w:rPr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  <w:t xml:space="preserve">о, </w:t>
            </w: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в,</w:t>
            </w: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 с</w:t>
            </w:r>
            <w:r>
              <w:rPr>
                <w:highlight w:val="yellow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</w:tr>
      <w:tr>
        <w:trPr>
          <w:trHeight w:val="737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7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 w:eastAsia="SimSun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SMISLOW M DOO</w:t>
            </w:r>
            <w:r>
              <w:rPr>
                <w:rFonts w:ascii="Arial" w:hAnsi="Arial" w:cs="Arial" w:eastAsia="SimSun" w:hint="default"/>
                <w:b/>
                <w:bCs w:val="false"/>
                <w:i w:val="false"/>
                <w:color w:val="000000"/>
                <w:sz w:val="20"/>
                <w:szCs w:val="20"/>
                <w:highlight w:val="yellow"/>
                <w:lang w:val="en-US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Узгој живине</w:t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с, в</w:t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highlight w:val="yellow"/>
                <w:lang w:val="en-US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rPr>
                <w:rFonts w:ascii="Arial" w:hAnsi="Arial" w:cs="Arial"/>
                <w:b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b/>
                <w:i w:val="false"/>
                <w:color w:val="000000"/>
                <w:sz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  <w:lang w:val="sr-Cyrl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Cyrl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Cyrl-RS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  <w:lang w:val="sr-Latn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en-U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  <w:lang w:val="sr-Cyrl-RS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highlight w:val="yellow"/>
                <w:lang w:val="sr-Latn-RS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  <w:lang w:val="sr-Latn-RS"/>
              </w:rPr>
            </w:r>
            <w:r>
              <w:rPr>
                <w:highlight w:val="yellow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en-US"/>
              </w:rPr>
              <w:t xml:space="preserve">1</w:t>
            </w: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8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Latn-RS"/>
              </w:rPr>
              <w:t xml:space="preserve">NIS </w:t>
            </w:r>
            <w:r>
              <w:rPr>
                <w:rFonts w:ascii="Arial" w:hAnsi="Arial" w:cs="Arial" w:hint="default"/>
                <w:b/>
                <w:bCs w:val="false"/>
                <w:i w:val="false"/>
                <w:color w:val="000000"/>
                <w:sz w:val="20"/>
                <w:szCs w:val="20"/>
                <w:lang w:val="sr-Cyrl-RS"/>
              </w:rPr>
              <w:t xml:space="preserve">нафтно поље Србобран-Турија</w:t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нафтне бушотине</w:t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/>
              </w:rPr>
              <w:t xml:space="preserve">низак</w:t>
            </w:r>
            <w:r/>
          </w:p>
        </w:tc>
        <w:tc>
          <w:tcPr>
            <w:tcW w:w="946" w:type="dxa"/>
            <w:vAlign w:val="center"/>
            <w:textDirection w:val="lrTb"/>
            <w:noWrap w:val="false"/>
          </w:tcPr>
          <w:p>
            <w:pPr>
              <w:jc w:val="center"/>
              <w:widowControl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1</w:t>
            </w:r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Cyrl-RS"/>
              </w:rPr>
              <w:t xml:space="preserve">о,  б, в</w:t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  <w:lang w:val="sr-Latn-RS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Latn-RS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 w:hint="default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default"/>
                <w:i w:val="false"/>
                <w:color w:val="000000"/>
                <w:sz w:val="20"/>
                <w:szCs w:val="20"/>
                <w:lang w:val="sr-Cyrl-RS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18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79" w:type="dxa"/>
            <w:vAlign w:val="center"/>
            <w:textDirection w:val="lrTb"/>
            <w:noWrap w:val="false"/>
          </w:tcPr>
          <w:p>
            <w:pPr>
              <w:jc w:val="center"/>
              <w:rPr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285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446" w:type="dxa"/>
            <w:vAlign w:val="center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</w:tr>
      <w:tr>
        <w:trPr>
          <w:trHeight w:val="1314"/>
        </w:trPr>
        <w:tc>
          <w:tcPr>
            <w:tcW w:w="26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 w:eastAsia="Arial"/>
                <w:sz w:val="20"/>
              </w:rPr>
            </w:pPr>
            <w:r>
              <w:rPr>
                <w:rFonts w:ascii="Arial" w:hAnsi="Arial" w:cs="Arial" w:eastAsia="Arial"/>
                <w:b/>
                <w:sz w:val="20"/>
                <w:lang w:val="sr-Cyrl-RS"/>
              </w:rPr>
              <w:t xml:space="preserve">19</w:t>
            </w:r>
            <w:r/>
          </w:p>
        </w:tc>
        <w:tc>
          <w:tcPr>
            <w:tcW w:w="1061" w:type="dxa"/>
            <w:vAlign w:val="center"/>
            <w:vMerge w:val="restart"/>
            <w:textDirection w:val="lrTb"/>
            <w:noWrap w:val="false"/>
          </w:tcPr>
          <w:p>
            <w:pPr>
              <w:rPr>
                <w:highlight w:val="yellow"/>
              </w:rPr>
            </w:pPr>
            <w:r>
              <w:rPr>
                <w:rFonts w:ascii="Arial" w:hAnsi="Arial" w:cs="Arial"/>
                <w:b/>
                <w:bCs w:val="false"/>
                <w:i w:val="false"/>
                <w:color w:val="000000"/>
                <w:sz w:val="20"/>
                <w:szCs w:val="20"/>
                <w:highlight w:val="yellow"/>
                <w:lang w:val="en-US"/>
              </w:rPr>
            </w:r>
            <w:r>
              <w:rPr>
                <w:rFonts w:ascii="Arial" w:hAnsi="Arial" w:cs="Arial" w:eastAsia="Arial"/>
                <w:b/>
                <w:sz w:val="20"/>
                <w:szCs w:val="22"/>
                <w:lang w:val="sr-Cyrl-RS"/>
              </w:rPr>
              <w:t xml:space="preserve">Фидес 2014 доо</w:t>
            </w:r>
            <w:r>
              <w:rPr>
                <w:rFonts w:ascii="Arial" w:hAnsi="Arial" w:cs="Arial" w:eastAsia="Arial"/>
                <w:b/>
                <w:bCs w:val="false"/>
                <w:i w:val="false"/>
                <w:color w:val="000000"/>
                <w:sz w:val="20"/>
                <w:szCs w:val="20"/>
                <w:highlight w:val="yellow"/>
                <w:lang w:val="en-US"/>
              </w:rPr>
            </w:r>
            <w:r/>
          </w:p>
        </w:tc>
        <w:tc>
          <w:tcPr>
            <w:tcW w:w="969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 w:eastAsia="Arial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sr-Cyrl-RS"/>
              </w:rPr>
              <w:t xml:space="preserve">Узгој живине</w:t>
            </w:r>
            <w:r>
              <w:rPr>
                <w:rFonts w:ascii="Arial" w:hAnsi="Arial" w:cs="Arial" w:eastAsia="Arial"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  <w:tc>
          <w:tcPr>
            <w:tcW w:w="96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 w:eastAsia="SimSun"/>
                <w:i w:val="false"/>
                <w:color w:val="000000"/>
                <w:sz w:val="2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</w: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  <w:t xml:space="preserve">низак</w:t>
            </w:r>
            <w:r/>
          </w:p>
          <w:p>
            <w:pPr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en-US" w:bidi="ar-SA" w:eastAsia="zh-CN"/>
              </w:rPr>
            </w:r>
            <w:r/>
          </w:p>
        </w:tc>
        <w:tc>
          <w:tcPr>
            <w:tcW w:w="946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 w:eastAsia="SimSun"/>
                <w:color w:val="00000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  <w:t xml:space="preserve">1</w:t>
            </w:r>
            <w:r/>
          </w:p>
          <w:p>
            <w:pPr>
              <w:rPr>
                <w:rFonts w:ascii="Arial" w:hAnsi="Arial" w:cs="Arial" w:eastAsia="SimSun"/>
                <w:i w:val="false"/>
                <w:color w:val="000000"/>
                <w:sz w:val="20"/>
                <w:szCs w:val="20"/>
              </w:rPr>
            </w:pPr>
            <w:r>
              <w:rPr>
                <w:rFonts w:ascii="Arial" w:hAnsi="Arial" w:cs="Arial" w:eastAsia="SimSun"/>
                <w:i w:val="false"/>
                <w:color w:val="000000"/>
                <w:sz w:val="20"/>
                <w:lang w:val="sr-Cyrl-RS" w:bidi="ar-SA" w:eastAsia="zh-CN"/>
              </w:rPr>
            </w:r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restart"/>
            <w:textDirection w:val="lrTb"/>
            <w:noWrap w:val="false"/>
          </w:tcPr>
          <w:p>
            <w:pPr>
              <w:jc w:val="center"/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lang w:val="sr-Cyrl-RS"/>
              </w:rPr>
              <w:t xml:space="preserve">о, в, с</w:t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/>
          </w:p>
        </w:tc>
        <w:tc>
          <w:tcPr>
            <w:tcW w:w="505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/>
          </w:p>
        </w:tc>
      </w:tr>
      <w:tr>
        <w:trPr>
          <w:trHeight w:val="280"/>
        </w:trPr>
        <w:tc>
          <w:tcPr>
            <w:tcW w:w="2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1061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69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946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251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18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79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285" w:type="dxa"/>
            <w:vAlign w:val="center"/>
            <w:vMerge w:val="continue"/>
            <w:textDirection w:val="lrTb"/>
            <w:noWrap w:val="false"/>
          </w:tcPr>
          <w:p>
            <w:r/>
            <w:r/>
          </w:p>
        </w:tc>
        <w:tc>
          <w:tcPr>
            <w:tcW w:w="327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</w:rPr>
            </w:r>
            <w:r/>
          </w:p>
        </w:tc>
        <w:tc>
          <w:tcPr>
            <w:tcW w:w="446" w:type="dxa"/>
            <w:vAlign w:val="center"/>
            <w:vMerge w:val="restart"/>
            <w:textDirection w:val="lrTb"/>
            <w:noWrap w:val="false"/>
          </w:tcPr>
          <w:p>
            <w:pP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i w:val="false"/>
                <w:color w:val="000000"/>
                <w:sz w:val="20"/>
                <w:highlight w:val="yellow"/>
              </w:rPr>
            </w:r>
            <w:r>
              <w:rPr>
                <w:highlight w:val="yellow"/>
              </w:rPr>
            </w:r>
            <w:r/>
          </w:p>
        </w:tc>
        <w:tc>
          <w:tcPr>
            <w:tcW w:w="505" w:type="dxa"/>
            <w:vAlign w:val="center"/>
            <w:textDirection w:val="lrTb"/>
            <w:noWrap w:val="false"/>
          </w:tcPr>
          <w:p>
            <w:pPr>
              <w:rPr>
                <w:rFonts w:ascii="Arial" w:hAnsi="Arial" w:cs="Arial"/>
                <w:b w:val="false"/>
                <w:i w:val="false"/>
                <w:color w:val="000000"/>
                <w:sz w:val="20"/>
                <w:highlight w:val="yellow"/>
              </w:rPr>
            </w:pPr>
            <w:r>
              <w:rPr>
                <w:rFonts w:ascii="Arial" w:hAnsi="Arial" w:cs="Arial"/>
                <w:b w:val="false"/>
                <w:i w:val="false"/>
                <w:color w:val="000000"/>
                <w:sz w:val="20"/>
                <w:highlight w:val="yellow"/>
              </w:rPr>
            </w:r>
            <w:r>
              <w:rPr>
                <w:b w:val="false"/>
              </w:rPr>
            </w:r>
            <w:r/>
          </w:p>
        </w:tc>
      </w:tr>
    </w:tbl>
    <w:p>
      <w:pPr>
        <w:jc w:val="center"/>
        <w:rPr>
          <w:b w:val="false"/>
          <w:i/>
          <w:sz w:val="22"/>
          <w:szCs w:val="22"/>
          <w:highlight w:val="yellow"/>
        </w:rPr>
      </w:pPr>
      <w:r>
        <w:rPr>
          <w:b w:val="false"/>
          <w:i/>
          <w:sz w:val="22"/>
          <w:szCs w:val="22"/>
          <w:lang w:val="sr-Cyrl-RS"/>
        </w:rPr>
        <w:t xml:space="preserve">Табела 3.</w:t>
      </w:r>
      <w:r>
        <w:rPr>
          <w:b w:val="false"/>
          <w:i/>
          <w:sz w:val="22"/>
          <w:szCs w:val="22"/>
          <w:highlight w:val="yellow"/>
        </w:rPr>
      </w:r>
      <w:r/>
    </w:p>
    <w:p>
      <w:pPr>
        <w:jc w:val="both"/>
        <w:rPr>
          <w:b w:val="false"/>
          <w:sz w:val="22"/>
          <w:szCs w:val="22"/>
        </w:rPr>
      </w:pPr>
      <w:r>
        <w:rPr>
          <w:b w:val="false"/>
          <w:sz w:val="22"/>
          <w:szCs w:val="22"/>
          <w:lang w:val="sr-Cyrl-RS"/>
        </w:rPr>
      </w:r>
      <w:r>
        <w:rPr>
          <w:b w:val="false"/>
        </w:rPr>
      </w:r>
      <w:r/>
    </w:p>
    <w:p>
      <w:pPr>
        <w:jc w:val="both"/>
        <w:rPr>
          <w:b w:val="false"/>
          <w:sz w:val="22"/>
          <w:szCs w:val="22"/>
        </w:rPr>
      </w:pPr>
      <w:r>
        <w:rPr>
          <w:b w:val="false"/>
          <w:sz w:val="22"/>
          <w:szCs w:val="22"/>
          <w:lang w:val="sr-Cyrl-RS"/>
        </w:rPr>
      </w:r>
      <w:r>
        <w:rPr>
          <w:b w:val="false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b/>
          <w:sz w:val="22"/>
          <w:szCs w:val="22"/>
          <w:lang w:val="sr-Cyrl-RS"/>
        </w:rPr>
        <w:t xml:space="preserve">ОСТАЛИ ОБЛИЦИ ИНСПЕКЦИЈСКОГ НАДЗОРА:</w:t>
      </w:r>
      <w:r>
        <w:rPr>
          <w:b/>
          <w:sz w:val="22"/>
          <w:szCs w:val="22"/>
        </w:rPr>
      </w:r>
      <w:r/>
    </w:p>
    <w:p>
      <w:pPr>
        <w:jc w:val="both"/>
        <w:rPr>
          <w:rFonts w:hint="default"/>
          <w:b/>
          <w:sz w:val="22"/>
          <w:szCs w:val="22"/>
          <w:lang w:val="sr-Cyrl-RS"/>
        </w:rPr>
      </w:pPr>
      <w:r>
        <w:rPr>
          <w:b/>
          <w:sz w:val="22"/>
          <w:szCs w:val="22"/>
          <w:lang w:val="sr-Cyrl-RS"/>
        </w:rPr>
      </w:r>
      <w:r>
        <w:rPr>
          <w:b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Вандредни инспекцијски надзор: 30% од укупног броја редовних</w:t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Контролни: 10% </w:t>
      </w:r>
      <w:r>
        <w:rPr>
          <w:b w:val="false"/>
          <w:sz w:val="22"/>
          <w:szCs w:val="22"/>
          <w:lang w:val="sr-Cyrl-RS"/>
        </w:rPr>
        <w:t xml:space="preserve">од укупног броја редовних</w:t>
      </w:r>
      <w:r>
        <w:rPr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Мешовити: 5% </w:t>
      </w:r>
      <w:r>
        <w:rPr>
          <w:b w:val="false"/>
          <w:sz w:val="22"/>
          <w:szCs w:val="22"/>
          <w:lang w:val="sr-Cyrl-RS"/>
        </w:rPr>
        <w:t xml:space="preserve">од укупног броја редовних у поступку када инамо представку, па се ванредни и редован инспекцијски надзор могу вршити заједно ако редован надзор покрива садржај представке делимично или у потпуности. То се очекује код Реахем доо, Туринка доо и Екстра фарм.</w:t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Допуниски: 5% </w:t>
      </w:r>
      <w:r>
        <w:rPr>
          <w:b w:val="false"/>
          <w:sz w:val="22"/>
          <w:szCs w:val="22"/>
          <w:lang w:val="sr-Cyrl-RS"/>
        </w:rPr>
        <w:t xml:space="preserve">од укупног броја редовних</w:t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Процена на основу предходних година.</w:t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b w:val="false"/>
          <w:sz w:val="22"/>
          <w:szCs w:val="22"/>
          <w:lang w:val="sr-Cyrl-RS"/>
        </w:rPr>
      </w:pPr>
      <w:r>
        <w:rPr>
          <w:b w:val="false"/>
          <w:sz w:val="22"/>
          <w:szCs w:val="22"/>
          <w:lang w:val="sr-Cyrl-RS"/>
        </w:rPr>
      </w:r>
      <w:r>
        <w:rPr>
          <w:b w:val="false"/>
          <w:sz w:val="22"/>
          <w:szCs w:val="22"/>
          <w:lang w:val="sr-Cyrl-RS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/>
    </w:p>
    <w:p>
      <w:pPr>
        <w:jc w:val="both"/>
        <w:rPr>
          <w:b/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b/>
          <w:sz w:val="22"/>
          <w:szCs w:val="22"/>
          <w:lang w:val="sr-Cyrl-RS"/>
        </w:rPr>
        <w:t xml:space="preserve">МЕРЕ И АКТИВНОСТИ ЗА СПРЕЧАВАЊЕ ОБАВЉАЊА ДЕЛАТНОСТИ И ВРШЕЊА АКТИВНОСТИ НЕРЕГИСТРОВАНИХ СУБЈЕКАТА</w:t>
      </w:r>
      <w:r>
        <w:rPr>
          <w:b/>
          <w:sz w:val="22"/>
          <w:szCs w:val="22"/>
          <w:lang w:val="sr-Cyrl-RS"/>
        </w:rPr>
      </w:r>
      <w:r/>
    </w:p>
    <w:p>
      <w:pPr>
        <w:jc w:val="both"/>
        <w:rPr>
          <w:lang w:val="sr-Cyrl-RS"/>
        </w:rPr>
      </w:pPr>
      <w:r>
        <w:rPr>
          <w:b/>
          <w:sz w:val="22"/>
          <w:szCs w:val="22"/>
          <w:lang w:val="sr-Cyrl-RS"/>
        </w:rPr>
      </w:r>
      <w:r>
        <w:rPr>
          <w:b/>
          <w:sz w:val="22"/>
          <w:szCs w:val="22"/>
          <w:lang w:val="sr-Cyrl-RS"/>
        </w:rPr>
      </w:r>
      <w:r/>
    </w:p>
    <w:p>
      <w:pPr>
        <w:pStyle w:val="185"/>
        <w:numPr>
          <w:ilvl w:val="0"/>
          <w:numId w:val="3"/>
        </w:numPr>
        <w:jc w:val="both"/>
        <w:rPr>
          <w:lang w:val="sr-Cyrl-RS"/>
        </w:rPr>
      </w:pPr>
      <w:r>
        <w:rPr>
          <w:b w:val="false"/>
          <w:sz w:val="22"/>
          <w:szCs w:val="22"/>
          <w:lang w:val="sr-Cyrl-RS"/>
        </w:rPr>
        <w:t xml:space="preserve">Трибин</w:t>
      </w:r>
      <w:r>
        <w:rPr>
          <w:b w:val="false"/>
          <w:sz w:val="22"/>
          <w:szCs w:val="22"/>
          <w:lang w:val="en-US"/>
        </w:rPr>
        <w:t xml:space="preserve">a</w:t>
      </w:r>
      <w:r>
        <w:rPr>
          <w:b w:val="false"/>
          <w:sz w:val="22"/>
          <w:szCs w:val="22"/>
          <w:lang w:val="sr-Cyrl-RS"/>
        </w:rPr>
        <w:t xml:space="preserve">, месец март, присустни представници надзираних субјеката и заинтересовани грађани. Едукативног карактера о примени прописа и значају обављања делатности регистрованог субјеката за заједницу и појединца. Такође значај пријаве нерегистрованих субјеката. </w:t>
      </w:r>
      <w:r>
        <w:rPr>
          <w:b w:val="false"/>
          <w:sz w:val="22"/>
          <w:szCs w:val="22"/>
          <w:lang w:val="sr-Cyrl-RS"/>
        </w:rPr>
      </w:r>
      <w:r/>
    </w:p>
    <w:p>
      <w:pPr>
        <w:pStyle w:val="185"/>
        <w:numPr>
          <w:ilvl w:val="0"/>
          <w:numId w:val="3"/>
        </w:numPr>
        <w:jc w:val="both"/>
        <w:rPr>
          <w:lang w:val="sr-Cyrl-RS"/>
        </w:rPr>
      </w:pPr>
      <w:r>
        <w:rPr>
          <w:b w:val="false"/>
          <w:sz w:val="22"/>
          <w:szCs w:val="22"/>
          <w:lang w:val="sr-Cyrl-RS"/>
        </w:rPr>
      </w:r>
      <w:r>
        <w:rPr>
          <w:b w:val="false"/>
          <w:sz w:val="22"/>
          <w:szCs w:val="22"/>
          <w:lang w:val="sr-Cyrl-RS"/>
        </w:rPr>
        <w:t xml:space="preserve">Акција: месец мај, појачан обилазак терена и проналажење нерегистрованих субјеката, обавештење на локалним медијима за пријаву и на огласној табли општине.</w:t>
      </w:r>
      <w:r>
        <w:rPr>
          <w:b w:val="false"/>
          <w:sz w:val="22"/>
          <w:szCs w:val="22"/>
          <w:lang w:val="sr-Cyrl-RS"/>
        </w:rPr>
      </w:r>
      <w:r/>
    </w:p>
    <w:p>
      <w:pPr>
        <w:pStyle w:val="185"/>
        <w:numPr>
          <w:ilvl w:val="0"/>
          <w:numId w:val="3"/>
        </w:numPr>
        <w:jc w:val="both"/>
      </w:pPr>
      <w:r>
        <w:rPr>
          <w:b w:val="false"/>
          <w:sz w:val="22"/>
          <w:szCs w:val="22"/>
          <w:lang w:val="sr-Cyrl-RS"/>
        </w:rPr>
        <w:t xml:space="preserve">Редован обилазак терена.</w:t>
      </w:r>
      <w:r>
        <w:rPr>
          <w:b w:val="false"/>
          <w:sz w:val="22"/>
          <w:szCs w:val="22"/>
        </w:rPr>
      </w:r>
      <w:r/>
    </w:p>
    <w:p>
      <w:pPr>
        <w:jc w:val="both"/>
        <w:rPr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/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sz w:val="22"/>
          <w:szCs w:val="22"/>
          <w:lang w:val="sr-Cyrl-RS"/>
        </w:rPr>
      </w:r>
      <w:r>
        <w:rPr>
          <w:sz w:val="22"/>
          <w:szCs w:val="22"/>
          <w:lang w:val="sr-Cyrl-RS"/>
        </w:rPr>
      </w:r>
      <w:r/>
    </w:p>
    <w:p>
      <w:pPr>
        <w:jc w:val="both"/>
      </w:pPr>
      <w:r/>
      <w:r/>
    </w:p>
    <w:p>
      <w:r/>
      <w:r/>
    </w:p>
    <w:p>
      <w:pPr>
        <w:jc w:val="both"/>
        <w:rPr>
          <w:b/>
          <w:bCs/>
          <w:lang w:val="sr-Cyrl-RS"/>
        </w:rPr>
      </w:pPr>
      <w:r>
        <w:rPr>
          <w:b/>
          <w:bCs/>
          <w:lang w:val="sr-Cyrl-RS"/>
        </w:rPr>
        <w:t xml:space="preserve">   </w:t>
      </w:r>
      <w:r/>
    </w:p>
    <w:p>
      <w:pPr>
        <w:jc w:val="both"/>
        <w:rPr>
          <w:b/>
          <w:u w:val="single"/>
          <w:lang w:val="sr-Cyrl-RS"/>
        </w:rPr>
      </w:pPr>
      <w:r>
        <w:rPr>
          <w:b/>
          <w:bCs/>
          <w:lang w:val="sr-Cyrl-RS"/>
        </w:rPr>
        <w:t xml:space="preserve">                              </w:t>
      </w:r>
      <w:r>
        <w:rPr>
          <w:b/>
          <w:bCs/>
          <w:u w:val="single"/>
          <w:lang w:val="sr-Cyrl-RS"/>
        </w:rPr>
        <w:t xml:space="preserve">                            </w:t>
      </w:r>
      <w:r/>
    </w:p>
    <w:p>
      <w:pPr>
        <w:jc w:val="right"/>
        <w:rPr>
          <w:b/>
          <w:lang w:val="sr-Cyrl-RS"/>
        </w:rPr>
      </w:pPr>
      <w:r>
        <w:rPr>
          <w:b/>
          <w:bCs/>
          <w:u w:val="single"/>
          <w:lang w:val="sr-Cyrl-RS"/>
        </w:rPr>
      </w:r>
      <w:r>
        <w:rPr>
          <w:b/>
          <w:bCs/>
          <w:lang w:val="sr-Cyrl-RS"/>
        </w:rPr>
        <w:t xml:space="preserve">Инспектор за заштиту животне средине:</w:t>
      </w:r>
      <w:r>
        <w:rPr>
          <w:b/>
          <w:bCs/>
          <w:lang w:val="sr-Cyrl-RS"/>
        </w:rPr>
      </w:r>
      <w:r/>
    </w:p>
    <w:p>
      <w:pPr>
        <w:jc w:val="right"/>
        <w:rPr>
          <w:b/>
          <w:lang w:val="en-US"/>
        </w:rPr>
      </w:pPr>
      <w:r>
        <w:rPr>
          <w:b/>
          <w:bCs/>
          <w:lang w:val="sr-Cyrl-RS"/>
        </w:rPr>
        <w:t xml:space="preserve">Љиљана Белић, мастер хеми</w:t>
      </w:r>
      <w:r>
        <w:rPr>
          <w:b/>
          <w:bCs/>
          <w:lang w:val="en-US"/>
        </w:rPr>
        <w:t xml:space="preserve">je,</w:t>
      </w:r>
      <w:r>
        <w:rPr>
          <w:b/>
          <w:bCs/>
          <w:lang w:val="sr-Cyrl-RS"/>
        </w:rPr>
      </w:r>
      <w:r/>
    </w:p>
    <w:p>
      <w:pPr>
        <w:jc w:val="right"/>
        <w:rPr>
          <w:b/>
          <w:lang w:val="sr-Cyrl-RS"/>
        </w:rPr>
      </w:pPr>
      <w:r>
        <w:rPr>
          <w:b/>
          <w:bCs/>
          <w:lang w:val="sr-Cyrl-RS"/>
        </w:rPr>
        <w:t xml:space="preserve">смер контроле квалитета и заштите животне средине</w:t>
      </w:r>
      <w:r>
        <w:rPr>
          <w:b/>
          <w:bCs/>
          <w:lang w:val="en-US"/>
        </w:rPr>
      </w:r>
      <w:r/>
    </w:p>
    <w:p>
      <w:pPr>
        <w:jc w:val="right"/>
        <w:rPr>
          <w:b/>
          <w:u w:val="single"/>
          <w:lang w:val="sr-Cyrl-RS"/>
        </w:rPr>
      </w:pPr>
      <w:r>
        <w:rPr>
          <w:b/>
          <w:u w:val="single"/>
          <w:lang w:val="sr-Cyrl-RS"/>
        </w:rPr>
      </w:r>
      <w:r/>
    </w:p>
    <w:sectPr>
      <w:footnotePr/>
      <w:type w:val="nextPage"/>
      <w:pgSz w:w="11906" w:h="16838"/>
      <w:pgMar w:top="1440" w:right="1800" w:bottom="1440" w:left="1800" w:gutter="0" w:header="720" w:footer="720"/>
      <w:cols w:num="1" w:sep="0" w:space="720" w:equalWidth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imSun">
    <w:panose1 w:val="02010600030101010101"/>
  </w:font>
  <w:font w:name="Wingdings">
    <w:panose1 w:val="05000000000000000000"/>
  </w:font>
  <w:font w:name="Courier New">
    <w:panose1 w:val="02070309020205020404"/>
  </w:font>
  <w:font w:name="Symbol">
    <w:panose1 w:val="05050102010706020507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footnote w:type="separator" w:id="-1">
    <w:p>
      <w:pPr>
        <w:spacing w:lineRule="auto" w:line="240" w:after="0"/>
      </w:pPr>
      <w:r>
        <w:separator/>
      </w:r>
      <w:r/>
    </w:p>
  </w:footnote>
  <w:footnote w:type="continuationSeparator" w:id="0">
    <w:p>
      <w:pPr>
        <w:spacing w:lineRule="auto" w:line="240" w:after="0"/>
      </w:pPr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hybridMultilevel"/>
    <w:lvl w:ilvl="0">
      <w:start w:val="1"/>
      <w:numFmt w:val="bullet"/>
      <w:suff w:val="tab"/>
      <w:lvlText w:val="·"/>
      <w:lvlJc w:val="left"/>
      <w:pPr>
        <w:ind w:left="72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/>
      </w:rPr>
    </w:lvl>
  </w:abstractNum>
  <w:abstractNum w:abstractNumId="1">
    <w:multiLevelType w:val="hybridMultilevel"/>
    <w:lvl w:ilvl="0">
      <w:start w:val="1"/>
      <w:numFmt w:val="bullet"/>
      <w:suff w:val="tab"/>
      <w:lvlText w:val="·"/>
      <w:lvlJc w:val="left"/>
      <w:pPr>
        <w:ind w:left="72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/>
      </w:rPr>
    </w:lvl>
  </w:abstractNum>
  <w:abstractNum w:abstractNumId="2">
    <w:multiLevelType w:val="hybridMultilevel"/>
    <w:lvl w:ilvl="0">
      <w:start w:val="1"/>
      <w:numFmt w:val="bullet"/>
      <w:suff w:val="tab"/>
      <w:lvlText w:val="·"/>
      <w:lvlJc w:val="left"/>
      <w:pPr>
        <w:ind w:left="720" w:hanging="349"/>
      </w:pPr>
      <w:rPr>
        <w:rFonts w:ascii="Symbol" w:hAnsi="Symbol" w:cs="Symbol" w:eastAsia="Symbol"/>
      </w:rPr>
    </w:lvl>
    <w:lvl w:ilvl="1">
      <w:start w:val="1"/>
      <w:numFmt w:val="bullet"/>
      <w:suff w:val="tab"/>
      <w:lvlText w:val="o"/>
      <w:lvlJc w:val="left"/>
      <w:pPr>
        <w:ind w:left="1440" w:hanging="349"/>
      </w:pPr>
      <w:rPr>
        <w:rFonts w:ascii="Courier New" w:hAnsi="Courier New" w:cs="Courier New" w:eastAsia="Courier New"/>
      </w:rPr>
    </w:lvl>
    <w:lvl w:ilvl="2">
      <w:start w:val="1"/>
      <w:numFmt w:val="bullet"/>
      <w:suff w:val="tab"/>
      <w:lvlText w:val="§"/>
      <w:lvlJc w:val="left"/>
      <w:pPr>
        <w:ind w:left="2160" w:hanging="349"/>
      </w:pPr>
      <w:rPr>
        <w:rFonts w:ascii="Wingdings" w:hAnsi="Wingdings" w:cs="Wingdings" w:eastAsia="Wingdings"/>
      </w:rPr>
    </w:lvl>
    <w:lvl w:ilvl="3">
      <w:start w:val="1"/>
      <w:numFmt w:val="bullet"/>
      <w:suff w:val="tab"/>
      <w:lvlText w:val="·"/>
      <w:lvlJc w:val="left"/>
      <w:pPr>
        <w:ind w:left="2880" w:hanging="349"/>
      </w:pPr>
      <w:rPr>
        <w:rFonts w:ascii="Symbol" w:hAnsi="Symbol" w:cs="Symbol" w:eastAsia="Symbol"/>
      </w:rPr>
    </w:lvl>
    <w:lvl w:ilvl="4">
      <w:start w:val="1"/>
      <w:numFmt w:val="bullet"/>
      <w:suff w:val="tab"/>
      <w:lvlText w:val="o"/>
      <w:lvlJc w:val="left"/>
      <w:pPr>
        <w:ind w:left="3600" w:hanging="349"/>
      </w:pPr>
      <w:rPr>
        <w:rFonts w:ascii="Courier New" w:hAnsi="Courier New" w:cs="Courier New" w:eastAsia="Courier New"/>
      </w:rPr>
    </w:lvl>
    <w:lvl w:ilvl="5">
      <w:start w:val="1"/>
      <w:numFmt w:val="bullet"/>
      <w:suff w:val="tab"/>
      <w:lvlText w:val="§"/>
      <w:lvlJc w:val="left"/>
      <w:pPr>
        <w:ind w:left="4320" w:hanging="349"/>
      </w:pPr>
      <w:rPr>
        <w:rFonts w:ascii="Wingdings" w:hAnsi="Wingdings" w:cs="Wingdings" w:eastAsia="Wingdings"/>
      </w:rPr>
    </w:lvl>
    <w:lvl w:ilvl="6">
      <w:start w:val="1"/>
      <w:numFmt w:val="bullet"/>
      <w:suff w:val="tab"/>
      <w:lvlText w:val="·"/>
      <w:lvlJc w:val="left"/>
      <w:pPr>
        <w:ind w:left="5040" w:hanging="349"/>
      </w:pPr>
      <w:rPr>
        <w:rFonts w:ascii="Symbol" w:hAnsi="Symbol" w:cs="Symbol" w:eastAsia="Symbol"/>
      </w:rPr>
    </w:lvl>
    <w:lvl w:ilvl="7">
      <w:start w:val="1"/>
      <w:numFmt w:val="bullet"/>
      <w:suff w:val="tab"/>
      <w:lvlText w:val="o"/>
      <w:lvlJc w:val="left"/>
      <w:pPr>
        <w:ind w:left="5760" w:hanging="349"/>
      </w:pPr>
      <w:rPr>
        <w:rFonts w:ascii="Courier New" w:hAnsi="Courier New" w:cs="Courier New" w:eastAsia="Courier New"/>
      </w:rPr>
    </w:lvl>
    <w:lvl w:ilvl="8">
      <w:start w:val="1"/>
      <w:numFmt w:val="bullet"/>
      <w:suff w:val="tab"/>
      <w:lvlText w:val="§"/>
      <w:lvlJc w:val="left"/>
      <w:pPr>
        <w:ind w:left="6480" w:hanging="349"/>
      </w:pPr>
      <w:rPr>
        <w:rFonts w:ascii="Wingdings" w:hAnsi="Wingdings" w:cs="Wingdings" w:eastAsia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w="http://schemas.openxmlformats.org/wordprocessingml/2006/main" xmlns:m="http://schemas.openxmlformats.org/officeDocument/2006/math" xmlns:o="urn:schemas-microsoft-com:office:office" xmlns:v="urn:schemas-microsoft-com:vml">
  <w:clrSchemeMapping w:accent1="accent1" w:accent2="accent2" w:accent3="accent3" w:accent4="accent4" w:accent5="accent5" w:accent6="accent6" w:bg1="light1" w:bg2="light2" w:followedHyperlink="followedHyperlink" w:hyperlink="hyperlink" w:t1="dark1" w:t2="dark2"/>
  <w:defaultTabStop w:val="420"/>
  <m:mathPr/>
  <w:trackRevisions w:val="false"/>
  <w:footnotePr>
    <w:footnote w:id="-1"/>
    <w:footnote w:id="0"/>
    <w:numFmt w:val="decimal"/>
    <w:numRestart w:val="continuous"/>
    <w:numStart w:val="1"/>
    <w:pos w:val="pageBottom"/>
  </w:footnotePr>
  <w:zoom w:percent="10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cs="Calibri" w:eastAsia="Calibri"/>
        <w:color w:val="auto"/>
        <w:spacing w:val="0"/>
        <w:position w:val="0"/>
        <w:sz w:val="20"/>
        <w:szCs w:val="22"/>
        <w:lang w:val="en-US" w:bidi="en-US" w:eastAsia="en-US"/>
      </w:rPr>
    </w:rPrDefault>
    <w:pPrDefault>
      <w:pPr>
        <w:ind w:left="0" w:right="0" w:hanging="0"/>
        <w:jc w:val="left"/>
        <w:spacing w:lineRule="auto" w:line="240" w:after="0" w:afterAutospacing="0" w:before="0" w:beforeAutospacing="0"/>
        <w:shd w:val="nil" w:color="auto" w:fill="FFFFFF"/>
        <w:pBdr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  <w:between w:val="none" w:color="000000" w:sz="4" w:space="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69">
    <w:name w:val="Heading 1 Char"/>
    <w:basedOn w:val="231"/>
    <w:uiPriority w:val="9"/>
    <w:rPr>
      <w:rFonts w:ascii="Arial" w:hAnsi="Arial" w:cs="Arial" w:eastAsia="Arial"/>
      <w:b/>
      <w:bCs/>
      <w:color w:val="000000" w:themeColor="text1"/>
      <w:sz w:val="48"/>
      <w:szCs w:val="48"/>
    </w:rPr>
  </w:style>
  <w:style w:type="paragraph" w:styleId="170">
    <w:name w:val="Heading 2"/>
    <w:basedOn w:val="228"/>
    <w:next w:val="228"/>
    <w:qFormat/>
    <w:uiPriority w:val="9"/>
    <w:unhideWhenUsed/>
    <w:rPr>
      <w:rFonts w:ascii="Arial" w:hAnsi="Arial" w:cs="Arial" w:eastAsia="Arial"/>
      <w:b/>
      <w:bCs/>
      <w:color w:val="000000" w:themeColor="text1"/>
      <w:sz w:val="40"/>
    </w:rPr>
    <w:pPr>
      <w:keepLines/>
      <w:keepNext/>
      <w:spacing w:after="0" w:before="200"/>
      <w:outlineLvl w:val="1"/>
    </w:pPr>
  </w:style>
  <w:style w:type="character" w:styleId="171">
    <w:name w:val="Heading 2 Char"/>
    <w:basedOn w:val="231"/>
    <w:uiPriority w:val="9"/>
    <w:rPr>
      <w:rFonts w:ascii="Arial" w:hAnsi="Arial" w:cs="Arial" w:eastAsia="Arial"/>
      <w:b/>
      <w:bCs/>
      <w:color w:val="000000" w:themeColor="text1"/>
      <w:sz w:val="40"/>
      <w:szCs w:val="40"/>
    </w:rPr>
  </w:style>
  <w:style w:type="paragraph" w:styleId="172">
    <w:name w:val="Heading 3"/>
    <w:basedOn w:val="228"/>
    <w:next w:val="228"/>
    <w:qFormat/>
    <w:uiPriority w:val="9"/>
    <w:unhideWhenUsed/>
    <w:rPr>
      <w:rFonts w:ascii="Arial" w:hAnsi="Arial" w:cs="Arial" w:eastAsia="Arial"/>
      <w:b/>
      <w:bCs/>
      <w:i/>
      <w:iCs/>
      <w:color w:val="000000" w:themeColor="text1"/>
      <w:sz w:val="36"/>
      <w:szCs w:val="36"/>
    </w:rPr>
    <w:pPr>
      <w:keepLines/>
      <w:keepNext/>
      <w:spacing w:after="0" w:before="200"/>
      <w:outlineLvl w:val="2"/>
    </w:pPr>
  </w:style>
  <w:style w:type="character" w:styleId="173">
    <w:name w:val="Heading 3 Char"/>
    <w:basedOn w:val="231"/>
    <w:uiPriority w:val="9"/>
    <w:rPr>
      <w:rFonts w:ascii="Arial" w:hAnsi="Arial" w:cs="Arial" w:eastAsia="Arial"/>
      <w:b/>
      <w:bCs/>
      <w:i/>
      <w:iCs/>
      <w:color w:val="000000" w:themeColor="text1"/>
      <w:sz w:val="40"/>
      <w:szCs w:val="40"/>
    </w:rPr>
  </w:style>
  <w:style w:type="paragraph" w:styleId="174">
    <w:name w:val="Heading 4"/>
    <w:basedOn w:val="228"/>
    <w:next w:val="228"/>
    <w:qFormat/>
    <w:uiPriority w:val="9"/>
    <w:unhideWhenUsed/>
    <w:rPr>
      <w:rFonts w:ascii="Arial" w:hAnsi="Arial" w:cs="Arial" w:eastAsia="Arial"/>
      <w:color w:val="232323"/>
      <w:sz w:val="32"/>
      <w:szCs w:val="32"/>
    </w:rPr>
    <w:pPr>
      <w:keepLines/>
      <w:keepNext/>
      <w:spacing w:after="0" w:before="200"/>
      <w:outlineLvl w:val="3"/>
    </w:pPr>
  </w:style>
  <w:style w:type="character" w:styleId="175">
    <w:name w:val="Heading 4 Char"/>
    <w:basedOn w:val="231"/>
    <w:uiPriority w:val="9"/>
    <w:rPr>
      <w:rFonts w:ascii="Arial" w:hAnsi="Arial" w:cs="Arial" w:eastAsia="Arial"/>
      <w:color w:val="232323"/>
      <w:sz w:val="32"/>
      <w:szCs w:val="32"/>
    </w:rPr>
  </w:style>
  <w:style w:type="paragraph" w:styleId="176">
    <w:name w:val="Heading 5"/>
    <w:basedOn w:val="228"/>
    <w:next w:val="228"/>
    <w:qFormat/>
    <w:uiPriority w:val="9"/>
    <w:unhideWhenUsed/>
    <w:rPr>
      <w:rFonts w:ascii="Arial" w:hAnsi="Arial" w:cs="Arial" w:eastAsia="Arial"/>
      <w:b/>
      <w:bCs/>
      <w:color w:val="444444"/>
      <w:sz w:val="28"/>
      <w:szCs w:val="28"/>
    </w:rPr>
    <w:pPr>
      <w:keepLines/>
      <w:keepNext/>
      <w:spacing w:after="0" w:before="200"/>
      <w:outlineLvl w:val="4"/>
    </w:pPr>
  </w:style>
  <w:style w:type="character" w:styleId="177">
    <w:name w:val="Heading 5 Char"/>
    <w:basedOn w:val="231"/>
    <w:uiPriority w:val="9"/>
    <w:rPr>
      <w:rFonts w:ascii="Arial" w:hAnsi="Arial" w:cs="Arial" w:eastAsia="Arial"/>
      <w:b/>
      <w:bCs/>
      <w:color w:val="444444"/>
      <w:sz w:val="28"/>
      <w:szCs w:val="28"/>
    </w:rPr>
  </w:style>
  <w:style w:type="character" w:styleId="178">
    <w:name w:val="Heading 6 Char"/>
    <w:basedOn w:val="231"/>
    <w:uiPriority w:val="9"/>
    <w:rPr>
      <w:rFonts w:ascii="Arial" w:hAnsi="Arial" w:cs="Arial" w:eastAsia="Arial"/>
      <w:i/>
      <w:iCs/>
      <w:color w:val="232323"/>
      <w:sz w:val="28"/>
      <w:szCs w:val="28"/>
    </w:rPr>
  </w:style>
  <w:style w:type="paragraph" w:styleId="179">
    <w:name w:val="Heading 7"/>
    <w:basedOn w:val="228"/>
    <w:next w:val="228"/>
    <w:qFormat/>
    <w:uiPriority w:val="9"/>
    <w:unhideWhenUsed/>
    <w:rPr>
      <w:rFonts w:ascii="Arial" w:hAnsi="Arial" w:cs="Arial" w:eastAsia="Arial"/>
      <w:b/>
      <w:bCs/>
      <w:color w:val="606060"/>
      <w:sz w:val="24"/>
      <w:szCs w:val="24"/>
    </w:rPr>
    <w:pPr>
      <w:keepLines/>
      <w:keepNext/>
      <w:spacing w:after="0" w:before="200"/>
      <w:outlineLvl w:val="6"/>
    </w:pPr>
  </w:style>
  <w:style w:type="character" w:styleId="180">
    <w:name w:val="Heading 7 Char"/>
    <w:basedOn w:val="231"/>
    <w:uiPriority w:val="9"/>
    <w:rPr>
      <w:rFonts w:ascii="Arial" w:hAnsi="Arial" w:cs="Arial" w:eastAsia="Arial"/>
      <w:b/>
      <w:bCs/>
      <w:color w:val="606060"/>
      <w:sz w:val="28"/>
      <w:szCs w:val="28"/>
    </w:rPr>
  </w:style>
  <w:style w:type="paragraph" w:styleId="181">
    <w:name w:val="Heading 8"/>
    <w:basedOn w:val="228"/>
    <w:next w:val="228"/>
    <w:qFormat/>
    <w:uiPriority w:val="9"/>
    <w:unhideWhenUsed/>
    <w:rPr>
      <w:rFonts w:ascii="Arial" w:hAnsi="Arial" w:cs="Arial" w:eastAsia="Arial"/>
      <w:color w:val="444444"/>
      <w:sz w:val="24"/>
      <w:szCs w:val="24"/>
    </w:rPr>
    <w:pPr>
      <w:keepLines/>
      <w:keepNext/>
      <w:spacing w:after="0" w:before="200"/>
      <w:outlineLvl w:val="7"/>
    </w:pPr>
  </w:style>
  <w:style w:type="character" w:styleId="182">
    <w:name w:val="Heading 8 Char"/>
    <w:basedOn w:val="231"/>
    <w:uiPriority w:val="9"/>
    <w:rPr>
      <w:rFonts w:ascii="Arial" w:hAnsi="Arial" w:cs="Arial" w:eastAsia="Arial"/>
      <w:color w:val="444444"/>
      <w:sz w:val="24"/>
      <w:szCs w:val="24"/>
    </w:rPr>
  </w:style>
  <w:style w:type="paragraph" w:styleId="183">
    <w:name w:val="Heading 9"/>
    <w:basedOn w:val="228"/>
    <w:next w:val="228"/>
    <w:qFormat/>
    <w:uiPriority w:val="9"/>
    <w:unhideWhenUsed/>
    <w:rPr>
      <w:rFonts w:ascii="Arial" w:hAnsi="Arial" w:cs="Arial" w:eastAsia="Arial"/>
      <w:i/>
      <w:iCs/>
      <w:color w:val="444444"/>
      <w:sz w:val="23"/>
      <w:szCs w:val="23"/>
    </w:rPr>
    <w:pPr>
      <w:keepLines/>
      <w:keepNext/>
      <w:spacing w:after="0" w:before="200"/>
      <w:outlineLvl w:val="8"/>
    </w:pPr>
  </w:style>
  <w:style w:type="character" w:styleId="184">
    <w:name w:val="Heading 9 Char"/>
    <w:basedOn w:val="231"/>
    <w:uiPriority w:val="9"/>
    <w:rPr>
      <w:rFonts w:ascii="Arial" w:hAnsi="Arial" w:cs="Arial" w:eastAsia="Arial"/>
      <w:i/>
      <w:iCs/>
      <w:color w:val="444444"/>
      <w:sz w:val="23"/>
      <w:szCs w:val="23"/>
    </w:rPr>
  </w:style>
  <w:style w:type="paragraph" w:styleId="185">
    <w:name w:val="List Paragraph"/>
    <w:basedOn w:val="228"/>
    <w:qFormat/>
    <w:uiPriority w:val="34"/>
    <w:pPr>
      <w:contextualSpacing w:val="true"/>
      <w:ind w:left="720"/>
    </w:pPr>
  </w:style>
  <w:style w:type="paragraph" w:styleId="186">
    <w:name w:val="No Spacing"/>
    <w:basedOn w:val="228"/>
    <w:qFormat/>
    <w:uiPriority w:val="1"/>
    <w:rPr>
      <w:color w:val="000000"/>
    </w:rPr>
    <w:pPr>
      <w:spacing w:lineRule="auto" w:line="240" w:after="0"/>
    </w:pPr>
  </w:style>
  <w:style w:type="paragraph" w:styleId="187">
    <w:name w:val="Title"/>
    <w:basedOn w:val="228"/>
    <w:next w:val="228"/>
    <w:qFormat/>
    <w:uiPriority w:val="10"/>
    <w:rPr>
      <w:b/>
      <w:color w:val="000000"/>
      <w:sz w:val="72"/>
    </w:rPr>
    <w:pPr>
      <w:spacing w:lineRule="auto" w:line="240" w:after="80" w:before="300"/>
      <w:pBdr>
        <w:bottom w:val="single" w:color="000000" w:sz="24" w:space="0"/>
      </w:pBdr>
      <w:outlineLvl w:val="0"/>
    </w:pPr>
  </w:style>
  <w:style w:type="paragraph" w:styleId="188">
    <w:name w:val="Subtitle"/>
    <w:basedOn w:val="228"/>
    <w:next w:val="228"/>
    <w:qFormat/>
    <w:uiPriority w:val="11"/>
    <w:rPr>
      <w:i/>
      <w:color w:val="444444"/>
      <w:sz w:val="52"/>
    </w:rPr>
    <w:pPr>
      <w:spacing w:lineRule="auto" w:line="240"/>
      <w:outlineLvl w:val="0"/>
    </w:pPr>
  </w:style>
  <w:style w:type="paragraph" w:styleId="189">
    <w:name w:val="Quote"/>
    <w:basedOn w:val="228"/>
    <w:next w:val="228"/>
    <w:qFormat/>
    <w:uiPriority w:val="29"/>
    <w:rPr>
      <w:i/>
      <w:color w:val="373737"/>
      <w:sz w:val="18"/>
    </w:rPr>
    <w:pPr>
      <w:ind w:left="3402"/>
      <w:pBdr>
        <w:left w:val="single" w:color="A6A6A6" w:sz="12" w:space="11"/>
        <w:bottom w:val="single" w:color="A6A6A6" w:sz="12" w:space="3"/>
      </w:pBdr>
    </w:pPr>
  </w:style>
  <w:style w:type="paragraph" w:styleId="190">
    <w:name w:val="Intense Quote"/>
    <w:basedOn w:val="228"/>
    <w:next w:val="228"/>
    <w:qFormat/>
    <w:uiPriority w:val="30"/>
    <w:rPr>
      <w:i/>
      <w:color w:val="606060"/>
      <w:sz w:val="19"/>
    </w:rPr>
    <w:pPr>
      <w:ind w:left="567" w:right="567"/>
      <w:shd w:val="clear" w:color="auto" w:fill="D9D9D9"/>
      <w:pBdr>
        <w:left w:val="single" w:color="808080" w:sz="4" w:space="11"/>
        <w:top w:val="single" w:color="808080" w:sz="4" w:space="3"/>
        <w:right w:val="single" w:color="808080" w:sz="4" w:space="11"/>
        <w:bottom w:val="single" w:color="808080" w:sz="4" w:space="3"/>
      </w:pBdr>
    </w:pPr>
  </w:style>
  <w:style w:type="paragraph" w:styleId="191">
    <w:name w:val="Header"/>
    <w:basedOn w:val="228"/>
    <w:uiPriority w:val="99"/>
    <w:unhideWhenUsed/>
    <w:rPr>
      <w:color w:val="000000"/>
      <w:sz w:val="22"/>
    </w:rPr>
    <w:pPr>
      <w:spacing w:lineRule="auto" w:line="240" w:after="0"/>
      <w:tabs>
        <w:tab w:val="center" w:pos="7143" w:leader="none"/>
        <w:tab w:val="right" w:pos="14287" w:leader="none"/>
      </w:tabs>
    </w:pPr>
  </w:style>
  <w:style w:type="paragraph" w:styleId="192">
    <w:name w:val="Footer"/>
    <w:basedOn w:val="228"/>
    <w:uiPriority w:val="99"/>
    <w:unhideWhenUsed/>
    <w:rPr>
      <w:color w:val="000000"/>
      <w:sz w:val="22"/>
    </w:rPr>
    <w:pPr>
      <w:spacing w:lineRule="auto" w:line="240" w:after="0"/>
      <w:tabs>
        <w:tab w:val="center" w:pos="7143" w:leader="none"/>
        <w:tab w:val="right" w:pos="14287" w:leader="none"/>
      </w:tabs>
    </w:pPr>
  </w:style>
  <w:style w:type="table" w:styleId="193">
    <w:name w:val="Table Grid"/>
    <w:basedOn w:val="232"/>
    <w:uiPriority w:val="59"/>
    <w:pPr>
      <w:spacing w:lineRule="auto" w:line="240" w:after="0"/>
    </w:pPr>
    <w:tblPr>
      <w:tblInd w:w="0" w:type="dxa"/>
      <w:tblBorders>
        <w:left w:val="single" w:color="000000" w:sz="4" w:space="0"/>
        <w:top w:val="single" w:color="000000" w:sz="4" w:space="0"/>
        <w:right w:val="single" w:color="000000" w:sz="4" w:space="0"/>
        <w:bottom w:val="single" w:color="000000" w:sz="4" w:space="0"/>
        <w:insideV w:val="single" w:color="000000" w:sz="4" w:space="0"/>
        <w:insideH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194">
    <w:name w:val="Lined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7F7F7F"/>
      </w:tcPr>
    </w:tblStylePr>
  </w:style>
  <w:style w:type="table" w:styleId="195">
    <w:name w:val="Lined - Accent 1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548DD4"/>
      </w:tcPr>
    </w:tblStylePr>
  </w:style>
  <w:style w:type="table" w:styleId="196">
    <w:name w:val="Lined - Accent 2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D99594"/>
      </w:tcPr>
    </w:tblStylePr>
  </w:style>
  <w:style w:type="table" w:styleId="197">
    <w:name w:val="Lined - Accent 3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9BB559"/>
      </w:tcPr>
    </w:tblStylePr>
  </w:style>
  <w:style w:type="table" w:styleId="198">
    <w:name w:val="Lined - Accent 4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B2A1C7"/>
      </w:tcPr>
    </w:tblStylePr>
  </w:style>
  <w:style w:type="table" w:styleId="199">
    <w:name w:val="Lined - Accent 5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4BACC6"/>
      </w:tcPr>
    </w:tblStylePr>
  </w:style>
  <w:style w:type="table" w:styleId="200">
    <w:name w:val="Lined - Accent 6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79646"/>
      </w:tcPr>
    </w:tblStylePr>
  </w:style>
  <w:style w:type="table" w:styleId="201">
    <w:name w:val="Bordered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D9D9D9" w:sz="4" w:space="0"/>
        <w:top w:val="single" w:color="D9D9D9" w:sz="4" w:space="0"/>
        <w:right w:val="single" w:color="D9D9D9" w:sz="4" w:space="0"/>
        <w:bottom w:val="single" w:color="D9D9D9" w:sz="4" w:space="0"/>
        <w:insideV w:val="single" w:color="D9D9D9" w:sz="4" w:space="0"/>
        <w:insideH w:val="single" w:color="D9D9D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D9D9D9" w:sz="4" w:space="0"/>
          <w:top w:val="single" w:color="D9D9D9" w:sz="4" w:space="0"/>
          <w:right w:val="single" w:color="D9D9D9" w:sz="4" w:space="0"/>
          <w:bottom w:val="single" w:color="D9D9D9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7F7F7F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sz="12" w:space="0"/>
        </w:tcBorders>
      </w:tcPr>
    </w:tblStylePr>
  </w:style>
  <w:style w:type="table" w:styleId="202">
    <w:name w:val="Bordered - Accent 1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B8CCE4" w:sz="4" w:space="0"/>
        <w:top w:val="single" w:color="B8CCE4" w:sz="4" w:space="0"/>
        <w:right w:val="single" w:color="B8CCE4" w:sz="4" w:space="0"/>
        <w:bottom w:val="single" w:color="B8CCE4" w:sz="4" w:space="0"/>
        <w:insideV w:val="single" w:color="B8CCE4" w:sz="4" w:space="0"/>
        <w:insideH w:val="single" w:color="B8CCE4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B8CCE4" w:sz="4" w:space="0"/>
          <w:top w:val="single" w:color="B8CCE4" w:sz="4" w:space="0"/>
          <w:right w:val="single" w:color="B8CCE4" w:sz="4" w:space="0"/>
          <w:bottom w:val="single" w:color="B8CCE4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4F81BD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4F81BD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sz="12" w:space="0"/>
        </w:tcBorders>
      </w:tcPr>
    </w:tblStylePr>
  </w:style>
  <w:style w:type="table" w:styleId="203">
    <w:name w:val="Bordered - Accent 2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E5B8B7" w:sz="4" w:space="0"/>
        <w:top w:val="single" w:color="E5B8B7" w:sz="4" w:space="0"/>
        <w:right w:val="single" w:color="E5B8B7" w:sz="4" w:space="0"/>
        <w:bottom w:val="single" w:color="E5B8B7" w:sz="4" w:space="0"/>
        <w:insideV w:val="single" w:color="E5B8B7" w:sz="4" w:space="0"/>
        <w:insideH w:val="single" w:color="E5B8B7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E5B8B7" w:sz="4" w:space="0"/>
          <w:top w:val="single" w:color="E5B8B7" w:sz="4" w:space="0"/>
          <w:right w:val="single" w:color="E5B8B7" w:sz="4" w:space="0"/>
          <w:bottom w:val="single" w:color="E5B8B7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D99594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D99594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594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594" w:sz="12" w:space="0"/>
        </w:tcBorders>
      </w:tcPr>
    </w:tblStylePr>
  </w:style>
  <w:style w:type="table" w:styleId="204">
    <w:name w:val="Bordered - Accent 3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D6E3BC" w:sz="4" w:space="0"/>
        <w:top w:val="single" w:color="D6E3BC" w:sz="4" w:space="0"/>
        <w:right w:val="single" w:color="D6E3BC" w:sz="4" w:space="0"/>
        <w:bottom w:val="single" w:color="D6E3BC" w:sz="4" w:space="0"/>
        <w:insideV w:val="single" w:color="D6E3BC" w:sz="4" w:space="0"/>
        <w:insideH w:val="single" w:color="D6E3BC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D6E3BC" w:sz="4" w:space="0"/>
          <w:top w:val="single" w:color="D6E3BC" w:sz="4" w:space="0"/>
          <w:right w:val="single" w:color="D6E3BC" w:sz="4" w:space="0"/>
          <w:bottom w:val="single" w:color="D6E3BC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C2D69B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2D69B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2D69B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2D69B" w:sz="12" w:space="0"/>
        </w:tcBorders>
      </w:tcPr>
    </w:tblStylePr>
  </w:style>
  <w:style w:type="table" w:styleId="205">
    <w:name w:val="Bordered - Accent 4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CCC0D9" w:sz="4" w:space="0"/>
        <w:top w:val="single" w:color="CCC0D9" w:sz="4" w:space="0"/>
        <w:right w:val="single" w:color="CCC0D9" w:sz="4" w:space="0"/>
        <w:bottom w:val="single" w:color="CCC0D9" w:sz="4" w:space="0"/>
        <w:insideV w:val="single" w:color="CCC0D9" w:sz="4" w:space="0"/>
        <w:insideH w:val="single" w:color="CCC0D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CCC0D9" w:sz="4" w:space="0"/>
          <w:top w:val="single" w:color="CCC0D9" w:sz="4" w:space="0"/>
          <w:right w:val="single" w:color="CCC0D9" w:sz="4" w:space="0"/>
          <w:bottom w:val="single" w:color="CCC0D9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B2A1C7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B2A1C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7" w:sz="12" w:space="0"/>
        </w:tcBorders>
      </w:tcPr>
    </w:tblStylePr>
  </w:style>
  <w:style w:type="table" w:styleId="206">
    <w:name w:val="Bordered - Accent 5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B6DDE8" w:sz="4" w:space="0"/>
        <w:top w:val="single" w:color="B6DDE8" w:sz="4" w:space="0"/>
        <w:right w:val="single" w:color="B6DDE8" w:sz="4" w:space="0"/>
        <w:bottom w:val="single" w:color="B6DDE8" w:sz="4" w:space="0"/>
        <w:insideV w:val="single" w:color="B6DDE8" w:sz="4" w:space="0"/>
        <w:insideH w:val="single" w:color="B6DDE8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B6DDE8" w:sz="4" w:space="0"/>
          <w:top w:val="single" w:color="B6DDE8" w:sz="4" w:space="0"/>
          <w:right w:val="single" w:color="B6DDE8" w:sz="4" w:space="0"/>
          <w:bottom w:val="single" w:color="B6DDE8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92CDDC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92CDDC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DDC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DDC" w:sz="12" w:space="0"/>
        </w:tcBorders>
      </w:tcPr>
    </w:tblStylePr>
  </w:style>
  <w:style w:type="table" w:styleId="207">
    <w:name w:val="Bordered - Accent 6"/>
    <w:basedOn w:val="23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FBD4B4" w:sz="4" w:space="0"/>
        <w:top w:val="single" w:color="FBD4B4" w:sz="4" w:space="0"/>
        <w:right w:val="single" w:color="FBD4B4" w:sz="4" w:space="0"/>
        <w:bottom w:val="single" w:color="FBD4B4" w:sz="4" w:space="0"/>
        <w:insideV w:val="single" w:color="FBD4B4" w:sz="4" w:space="0"/>
        <w:insideH w:val="single" w:color="FBD4B4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left w:val="single" w:color="FBD4B4" w:sz="4" w:space="0"/>
          <w:top w:val="single" w:color="FBD4B4" w:sz="4" w:space="0"/>
          <w:right w:val="single" w:color="FBD4B4" w:sz="4" w:space="0"/>
          <w:bottom w:val="single" w:color="FBD4B4" w:sz="4" w:space="0"/>
        </w:tcBorders>
      </w:tcPr>
    </w:tblStylePr>
    <w:tblStylePr w:type="firstCol">
      <w:rPr>
        <w:rFonts w:ascii="Arial" w:hAnsi="Arial"/>
        <w:color w:val="404040"/>
        <w:sz w:val="22"/>
      </w:rPr>
      <w:tcPr>
        <w:tcBorders>
          <w:right w:val="single" w:color="FABF8F" w:sz="12" w:space="0"/>
        </w:tcBorders>
      </w:tc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ABF8F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BF8F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BF8F" w:sz="12" w:space="0"/>
        </w:tcBorders>
      </w:tcPr>
    </w:tblStylePr>
  </w:style>
  <w:style w:type="table" w:styleId="208">
    <w:name w:val="Bordered &amp; Lined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595959" w:sz="4" w:space="0"/>
        <w:top w:val="single" w:color="595959" w:sz="4" w:space="0"/>
        <w:right w:val="single" w:color="595959" w:sz="4" w:space="0"/>
        <w:bottom w:val="single" w:color="595959" w:sz="4" w:space="0"/>
        <w:insideV w:val="single" w:color="595959" w:sz="4" w:space="0"/>
        <w:insideH w:val="single" w:color="595959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F2F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9D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7F7F7F"/>
      </w:tcPr>
    </w:tblStylePr>
  </w:style>
  <w:style w:type="table" w:styleId="209">
    <w:name w:val="Bordered &amp; Lined - Accent 1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1F497D" w:sz="4" w:space="0"/>
        <w:top w:val="single" w:color="1F497D" w:sz="4" w:space="0"/>
        <w:right w:val="single" w:color="1F497D" w:sz="4" w:space="0"/>
        <w:bottom w:val="single" w:color="1F497D" w:sz="4" w:space="0"/>
        <w:insideV w:val="single" w:color="1F497D" w:sz="4" w:space="0"/>
        <w:insideH w:val="single" w:color="1F497D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C6D9F1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548DD4"/>
      </w:tcPr>
    </w:tblStylePr>
  </w:style>
  <w:style w:type="table" w:styleId="210">
    <w:name w:val="Bordered &amp; Lined - Accent 2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C0504D" w:sz="4" w:space="0"/>
        <w:top w:val="single" w:color="C0504D" w:sz="4" w:space="0"/>
        <w:right w:val="single" w:color="C0504D" w:sz="4" w:space="0"/>
        <w:bottom w:val="single" w:color="C0504D" w:sz="4" w:space="0"/>
        <w:insideV w:val="single" w:color="C0504D" w:sz="4" w:space="0"/>
        <w:insideH w:val="single" w:color="C0504D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2DBDB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D99594"/>
      </w:tcPr>
    </w:tblStylePr>
  </w:style>
  <w:style w:type="table" w:styleId="211">
    <w:name w:val="Bordered &amp; Lined - Accent 3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76923C" w:sz="4" w:space="0"/>
        <w:top w:val="single" w:color="76923C" w:sz="4" w:space="0"/>
        <w:right w:val="single" w:color="76923C" w:sz="4" w:space="0"/>
        <w:bottom w:val="single" w:color="76923C" w:sz="4" w:space="0"/>
        <w:insideV w:val="single" w:color="76923C" w:sz="4" w:space="0"/>
        <w:insideH w:val="single" w:color="76923C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AF1D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9BBB59"/>
      </w:tcPr>
    </w:tblStylePr>
  </w:style>
  <w:style w:type="table" w:styleId="212">
    <w:name w:val="Bordered &amp; Lined - Accent 4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8064A2" w:sz="4" w:space="0"/>
        <w:top w:val="single" w:color="8064A2" w:sz="4" w:space="0"/>
        <w:right w:val="single" w:color="8064A2" w:sz="4" w:space="0"/>
        <w:bottom w:val="single" w:color="8064A2" w:sz="4" w:space="0"/>
        <w:insideV w:val="single" w:color="8064A2" w:sz="4" w:space="0"/>
        <w:insideH w:val="single" w:color="8064A2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E5DFEC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B2A1C7"/>
      </w:tcPr>
    </w:tblStylePr>
  </w:style>
  <w:style w:type="table" w:styleId="213">
    <w:name w:val="Bordered &amp; Lined - Accent 5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31849B" w:sz="4" w:space="0"/>
        <w:top w:val="single" w:color="31849B" w:sz="4" w:space="0"/>
        <w:right w:val="single" w:color="31849B" w:sz="4" w:space="0"/>
        <w:bottom w:val="single" w:color="31849B" w:sz="4" w:space="0"/>
        <w:insideV w:val="single" w:color="31849B" w:sz="4" w:space="0"/>
        <w:insideH w:val="single" w:color="31849B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DAEEF3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4BACC6"/>
      </w:tcPr>
    </w:tblStylePr>
  </w:style>
  <w:style w:type="table" w:styleId="214">
    <w:name w:val="Bordered &amp; Lined - Accent 6"/>
    <w:basedOn w:val="23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E36C0A" w:sz="4" w:space="0"/>
        <w:top w:val="single" w:color="E36C0A" w:sz="4" w:space="0"/>
        <w:right w:val="single" w:color="E36C0A" w:sz="4" w:space="0"/>
        <w:bottom w:val="single" w:color="E36C0A" w:sz="4" w:space="0"/>
        <w:insideV w:val="single" w:color="E36C0A" w:sz="4" w:space="0"/>
        <w:insideH w:val="single" w:color="E36C0A" w:sz="4" w:space="0"/>
      </w:tblBorders>
      <w:tblCellMar>
        <w:left w:w="170" w:type="dxa"/>
        <w:top w:w="96" w:type="dxa"/>
        <w:right w:w="170" w:type="dxa"/>
        <w:bottom w:w="96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DE9D9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79646"/>
      </w:tcPr>
    </w:tblStylePr>
  </w:style>
  <w:style w:type="paragraph" w:styleId="215">
    <w:name w:val="footnote text"/>
    <w:basedOn w:val="228"/>
    <w:uiPriority w:val="99"/>
    <w:semiHidden/>
    <w:unhideWhenUsed/>
    <w:rPr>
      <w:sz w:val="20"/>
    </w:rPr>
    <w:pPr>
      <w:spacing w:lineRule="auto" w:line="240" w:after="0"/>
    </w:pPr>
  </w:style>
  <w:style w:type="character" w:styleId="216">
    <w:name w:val="Footnote Text Char"/>
    <w:basedOn w:val="231"/>
    <w:uiPriority w:val="99"/>
    <w:semiHidden/>
    <w:rPr>
      <w:sz w:val="20"/>
    </w:rPr>
  </w:style>
  <w:style w:type="character" w:styleId="217">
    <w:name w:val="footnote reference"/>
    <w:basedOn w:val="231"/>
    <w:uiPriority w:val="99"/>
    <w:semiHidden/>
    <w:unhideWhenUsed/>
    <w:rPr>
      <w:vertAlign w:val="superscript"/>
    </w:rPr>
  </w:style>
  <w:style w:type="paragraph" w:styleId="218">
    <w:name w:val="toc 1"/>
    <w:basedOn w:val="228"/>
    <w:next w:val="228"/>
    <w:uiPriority w:val="39"/>
    <w:unhideWhenUsed/>
    <w:pPr>
      <w:ind w:left="0" w:right="0" w:hanging="0"/>
      <w:spacing w:after="57"/>
    </w:pPr>
  </w:style>
  <w:style w:type="paragraph" w:styleId="219">
    <w:name w:val="toc 2"/>
    <w:basedOn w:val="228"/>
    <w:next w:val="228"/>
    <w:uiPriority w:val="39"/>
    <w:unhideWhenUsed/>
    <w:pPr>
      <w:ind w:left="283" w:right="0" w:hanging="0"/>
      <w:spacing w:after="57"/>
    </w:pPr>
  </w:style>
  <w:style w:type="paragraph" w:styleId="220">
    <w:name w:val="toc 3"/>
    <w:basedOn w:val="228"/>
    <w:next w:val="228"/>
    <w:uiPriority w:val="39"/>
    <w:unhideWhenUsed/>
    <w:pPr>
      <w:ind w:left="567" w:right="0" w:hanging="0"/>
      <w:spacing w:after="57"/>
    </w:pPr>
  </w:style>
  <w:style w:type="paragraph" w:styleId="221">
    <w:name w:val="toc 4"/>
    <w:basedOn w:val="228"/>
    <w:next w:val="228"/>
    <w:uiPriority w:val="39"/>
    <w:unhideWhenUsed/>
    <w:pPr>
      <w:ind w:left="850" w:right="0" w:hanging="0"/>
      <w:spacing w:after="57"/>
    </w:pPr>
  </w:style>
  <w:style w:type="paragraph" w:styleId="222">
    <w:name w:val="toc 5"/>
    <w:basedOn w:val="228"/>
    <w:next w:val="228"/>
    <w:uiPriority w:val="39"/>
    <w:unhideWhenUsed/>
    <w:pPr>
      <w:ind w:left="1134" w:right="0" w:hanging="0"/>
      <w:spacing w:after="57"/>
    </w:pPr>
  </w:style>
  <w:style w:type="paragraph" w:styleId="223">
    <w:name w:val="toc 6"/>
    <w:basedOn w:val="228"/>
    <w:next w:val="228"/>
    <w:uiPriority w:val="39"/>
    <w:unhideWhenUsed/>
    <w:pPr>
      <w:ind w:left="1417" w:right="0" w:hanging="0"/>
      <w:spacing w:after="57"/>
    </w:pPr>
  </w:style>
  <w:style w:type="paragraph" w:styleId="224">
    <w:name w:val="toc 7"/>
    <w:basedOn w:val="228"/>
    <w:next w:val="228"/>
    <w:uiPriority w:val="39"/>
    <w:unhideWhenUsed/>
    <w:pPr>
      <w:ind w:left="1701" w:right="0" w:hanging="0"/>
      <w:spacing w:after="57"/>
    </w:pPr>
  </w:style>
  <w:style w:type="paragraph" w:styleId="225">
    <w:name w:val="toc 8"/>
    <w:basedOn w:val="228"/>
    <w:next w:val="228"/>
    <w:uiPriority w:val="39"/>
    <w:unhideWhenUsed/>
    <w:pPr>
      <w:ind w:left="1984" w:right="0" w:hanging="0"/>
      <w:spacing w:after="57"/>
    </w:pPr>
  </w:style>
  <w:style w:type="paragraph" w:styleId="226">
    <w:name w:val="toc 9"/>
    <w:basedOn w:val="228"/>
    <w:next w:val="228"/>
    <w:uiPriority w:val="39"/>
    <w:unhideWhenUsed/>
    <w:pPr>
      <w:ind w:left="2268" w:right="0" w:hanging="0"/>
      <w:spacing w:after="57"/>
    </w:pPr>
  </w:style>
  <w:style w:type="paragraph" w:styleId="227">
    <w:name w:val="TOC Heading"/>
    <w:uiPriority w:val="39"/>
    <w:unhideWhenUsed/>
  </w:style>
  <w:style w:type="paragraph" w:styleId="228" w:default="1">
    <w:name w:val="Normal"/>
    <w:qFormat/>
    <w:uiPriority w:val="0"/>
    <w:rPr>
      <w:rFonts w:ascii="Times New Roman" w:hAnsi="Times New Roman" w:cs="Calibri" w:eastAsia="Calibri"/>
      <w:sz w:val="24"/>
      <w:szCs w:val="22"/>
      <w:lang w:val="en-US" w:eastAsia="zh-CN"/>
    </w:rPr>
    <w:pPr>
      <w:jc w:val="left"/>
      <w:widowControl w:val="off"/>
    </w:pPr>
  </w:style>
  <w:style w:type="paragraph" w:styleId="229">
    <w:name w:val="Heading 1"/>
    <w:basedOn w:val="228"/>
    <w:next w:val="228"/>
    <w:qFormat/>
    <w:uiPriority w:val="0"/>
    <w:rPr>
      <w:rFonts w:ascii="Arial" w:hAnsi="Arial"/>
      <w:b/>
      <w:sz w:val="32"/>
    </w:rPr>
    <w:pPr>
      <w:keepLines/>
      <w:keepNext/>
      <w:spacing w:lineRule="auto" w:line="240" w:after="60" w:afterAutospacing="0" w:before="240" w:beforeAutospacing="0"/>
      <w:outlineLvl w:val="0"/>
    </w:pPr>
  </w:style>
  <w:style w:type="paragraph" w:styleId="230">
    <w:name w:val="Heading 6"/>
    <w:basedOn w:val="228"/>
    <w:next w:val="228"/>
    <w:qFormat/>
    <w:uiPriority w:val="0"/>
    <w:unhideWhenUsed/>
    <w:rPr>
      <w:rFonts w:ascii="Times New Roman" w:hAnsi="Times New Roman"/>
      <w:b/>
      <w:sz w:val="22"/>
    </w:rPr>
    <w:pPr>
      <w:keepLines/>
      <w:keepNext/>
      <w:spacing w:lineRule="auto" w:line="240" w:after="60" w:afterAutospacing="0" w:before="240" w:beforeAutospacing="0"/>
      <w:outlineLvl w:val="5"/>
    </w:pPr>
  </w:style>
  <w:style w:type="character" w:styleId="231" w:default="1">
    <w:name w:val="Default Paragraph Font"/>
    <w:qFormat/>
    <w:uiPriority w:val="0"/>
    <w:semiHidden/>
  </w:style>
  <w:style w:type="table" w:styleId="232" w:default="1">
    <w:name w:val="Normal Table"/>
    <w:qFormat/>
    <w:uiPriority w:val="0"/>
    <w:semiHidden/>
    <w:tblPr>
      <w:tblLayout w:type="fixed"/>
      <w:tblCellMar>
        <w:left w:w="108" w:type="dxa"/>
        <w:top w:w="0" w:type="dxa"/>
        <w:right w:w="108" w:type="dxa"/>
        <w:bottom w:w="0" w:type="dxa"/>
      </w:tblCellMar>
    </w:tblPr>
  </w:style>
  <w:style w:type="character" w:styleId="233">
    <w:name w:val="Hyperlink"/>
    <w:basedOn w:val="231"/>
    <w:qFormat/>
    <w:uiPriority w:val="0"/>
    <w:rPr>
      <w:color w:val="0000FF"/>
      <w:u w:val="single"/>
    </w:rPr>
  </w:style>
  <w:style w:type="numbering" w:styleId="234" w:default="1">
    <w:name w:val="No List"/>
    <w:uiPriority w:val="99"/>
    <w:semiHidden/>
    <w:unhideWhenUsed/>
  </w:style>
  <w:style w:type="character" w:styleId="235">
    <w:name w:val="Internet Link"/>
    <w:basedOn w:val="172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hyperlink" Target="http://www.ekologija.gov.rs/" TargetMode="External"/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ONLYOFFICE/2.4.526.0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</cp:coreProperties>
</file>