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7"/>
        <w:tblW w:w="8760" w:type="dxa"/>
        <w:tblInd w:w="-7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50"/>
        <w:gridCol w:w="2088"/>
        <w:gridCol w:w="1149"/>
        <w:gridCol w:w="422"/>
        <w:gridCol w:w="422"/>
        <w:gridCol w:w="422"/>
        <w:gridCol w:w="422"/>
        <w:gridCol w:w="422"/>
        <w:gridCol w:w="422"/>
        <w:gridCol w:w="422"/>
        <w:gridCol w:w="422"/>
        <w:gridCol w:w="422"/>
        <w:gridCol w:w="422"/>
        <w:gridCol w:w="422"/>
        <w:gridCol w:w="4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ascii="Arial" w:hAnsi="Arial" w:cs="Arial"/>
                <w:b/>
                <w:bCs w:val="0"/>
                <w:i w:val="0"/>
                <w:color w:val="000000"/>
                <w:sz w:val="18"/>
                <w:szCs w:val="18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18"/>
                <w:szCs w:val="18"/>
                <w:lang w:val="en-US" w:eastAsia="zh-CN" w:bidi="ar-SA"/>
              </w:rPr>
              <w:t>Р.бр.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18"/>
                <w:szCs w:val="18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18"/>
                <w:szCs w:val="18"/>
                <w:lang w:val="en-US" w:eastAsia="zh-CN" w:bidi="ar-SA"/>
              </w:rPr>
              <w:t>Назив постројења</w:t>
            </w:r>
          </w:p>
        </w:tc>
        <w:tc>
          <w:tcPr>
            <w:tcW w:w="1149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i w:val="0"/>
                <w:color w:val="000000"/>
                <w:sz w:val="18"/>
                <w:szCs w:val="18"/>
              </w:rPr>
            </w:pPr>
            <w:r>
              <w:rPr>
                <w:rFonts w:hint="default" w:ascii="Arial" w:hAnsi="Arial" w:eastAsia="SimSun" w:cs="Arial"/>
                <w:b/>
                <w:i w:val="0"/>
                <w:color w:val="000000"/>
                <w:kern w:val="0"/>
                <w:sz w:val="18"/>
                <w:szCs w:val="18"/>
                <w:lang w:val="en-US" w:eastAsia="zh-CN" w:bidi="ar-SA"/>
              </w:rPr>
              <w:t>Област надзора</w:t>
            </w:r>
          </w:p>
        </w:tc>
        <w:tc>
          <w:tcPr>
            <w:tcW w:w="5073" w:type="dxa"/>
            <w:gridSpan w:val="12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i w:val="0"/>
                <w:color w:val="000000"/>
                <w:sz w:val="18"/>
                <w:szCs w:val="18"/>
              </w:rPr>
            </w:pPr>
            <w:r>
              <w:rPr>
                <w:rFonts w:hint="default" w:ascii="Arial" w:hAnsi="Arial" w:eastAsia="SimSun" w:cs="Arial"/>
                <w:b/>
                <w:i w:val="0"/>
                <w:color w:val="000000"/>
                <w:kern w:val="0"/>
                <w:sz w:val="18"/>
                <w:szCs w:val="18"/>
                <w:lang w:val="en-US" w:eastAsia="zh-CN" w:bidi="ar-SA"/>
              </w:rPr>
              <w:t>MЕСЕЦ РАДА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Merge w:val="continue"/>
            <w:vAlign w:val="center"/>
          </w:tcPr>
          <w:p>
            <w:pPr>
              <w:jc w:val="left"/>
              <w:rPr>
                <w:rFonts w:hint="default" w:ascii="Arial" w:hAnsi="Arial" w:cs="Arial"/>
                <w:b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I</w:t>
            </w:r>
          </w:p>
        </w:tc>
        <w:tc>
          <w:tcPr>
            <w:tcW w:w="4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II</w:t>
            </w:r>
          </w:p>
        </w:tc>
        <w:tc>
          <w:tcPr>
            <w:tcW w:w="4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III</w:t>
            </w:r>
          </w:p>
        </w:tc>
        <w:tc>
          <w:tcPr>
            <w:tcW w:w="4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IV</w:t>
            </w:r>
          </w:p>
        </w:tc>
        <w:tc>
          <w:tcPr>
            <w:tcW w:w="4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V</w:t>
            </w:r>
          </w:p>
        </w:tc>
        <w:tc>
          <w:tcPr>
            <w:tcW w:w="4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VI</w:t>
            </w:r>
          </w:p>
        </w:tc>
        <w:tc>
          <w:tcPr>
            <w:tcW w:w="4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VII</w:t>
            </w:r>
          </w:p>
        </w:tc>
        <w:tc>
          <w:tcPr>
            <w:tcW w:w="4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VIII</w:t>
            </w:r>
          </w:p>
        </w:tc>
        <w:tc>
          <w:tcPr>
            <w:tcW w:w="4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IX</w:t>
            </w:r>
          </w:p>
        </w:tc>
        <w:tc>
          <w:tcPr>
            <w:tcW w:w="4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XI</w:t>
            </w:r>
          </w:p>
        </w:tc>
        <w:tc>
          <w:tcPr>
            <w:tcW w:w="431" w:type="dxa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XII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1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"АУСТРОТЕРМ" д.о.о.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2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Ауто центар "Шмит" доо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3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Хумана апотека "Здравље",      Аранка Чолић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4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АД "Војводинапут - Бачкапут"    Нови Сад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5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Земљорадничка задруга             "Дебељачки", Надаљ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6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"ДММ ТИМ" доо, Темерин</w:t>
            </w:r>
          </w:p>
          <w:p>
            <w:pPr>
              <w:widowControl/>
              <w:jc w:val="center"/>
              <w:textAlignment w:val="center"/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пумпа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7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"АLMEX" Панчево</w:t>
            </w:r>
          </w:p>
          <w:p>
            <w:pPr>
              <w:widowControl/>
              <w:jc w:val="center"/>
              <w:textAlignment w:val="center"/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пумпа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gridAfter w:val="14"/>
          <w:wAfter w:w="8310" w:type="dxa"/>
          <w:trHeight w:val="312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8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"DEMAX" доо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9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"SCOM" доо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1</w:t>
            </w: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0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ДОО "Вулкан гума БЕЛТ"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1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1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"РЕАХЕМ" доо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1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2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Каменорезац</w:t>
            </w:r>
          </w:p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ОЛАХ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1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3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widowControl/>
              <w:jc w:val="both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METAL X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1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4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"FISH CORP 2000" доо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1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5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"Техника МБ"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both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1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6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Индустрија меса "Матић" доо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17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"Туринка" доо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18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"NB-Soja-GOLD" Надаљ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19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СЗР "АЛ-Кнежевић" Драгутин      Кнежевић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2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0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СЗТР "Термоглас" Бранислав       Мудрински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2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1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"SNS commerce" доо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2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3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"Парошки" доо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2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4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"</w:t>
            </w: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С</w:t>
            </w: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амостална апотека НАДА"       Нада Врањковић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  <w:t>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2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5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ОЗЗ "Србобран"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2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6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Шолтиш петрол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27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ЈКП "Градитељ"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28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Дом здравља "Др Ђорђе           Бастић"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29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Стоматолошка ординација          "УНИДЕНТ"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3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0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Стоматолошка ординација          "ДР ДЕНТ"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3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1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b/>
                <w:bCs w:val="0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Технички преглед "Мрђан"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en-US" w:eastAsia="zh-CN" w:bidi="ar-SA"/>
              </w:rPr>
              <w:t>нејон. 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3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2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Каменорезац ТОТ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нејон.</w:t>
            </w:r>
          </w:p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3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3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Каменорезац Ковач Антал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нејон.</w:t>
            </w:r>
          </w:p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3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4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Каменорезац Купцо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нејон.</w:t>
            </w:r>
          </w:p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4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5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Каменорезац Туторов Васа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  <w:t>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нејон.</w:t>
            </w:r>
          </w:p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</w:tbl>
    <w:p>
      <w:pPr>
        <w:rPr>
          <w:rFonts w:hint="default"/>
          <w:sz w:val="22"/>
          <w:szCs w:val="22"/>
          <w:lang w:val="sr-Cyrl-RS"/>
        </w:rPr>
      </w:pPr>
    </w:p>
    <w:tbl>
      <w:tblPr>
        <w:tblStyle w:val="7"/>
        <w:tblW w:w="8760" w:type="dxa"/>
        <w:tblInd w:w="-7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50"/>
        <w:gridCol w:w="2088"/>
        <w:gridCol w:w="1149"/>
        <w:gridCol w:w="422"/>
        <w:gridCol w:w="422"/>
        <w:gridCol w:w="422"/>
        <w:gridCol w:w="422"/>
        <w:gridCol w:w="422"/>
        <w:gridCol w:w="422"/>
        <w:gridCol w:w="422"/>
        <w:gridCol w:w="422"/>
        <w:gridCol w:w="422"/>
        <w:gridCol w:w="422"/>
        <w:gridCol w:w="422"/>
        <w:gridCol w:w="4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en-US"/>
              </w:rPr>
              <w:t>4</w:t>
            </w: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6</w:t>
            </w:r>
          </w:p>
        </w:tc>
        <w:tc>
          <w:tcPr>
            <w:tcW w:w="2088" w:type="dxa"/>
            <w:vMerge w:val="restart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</w:pPr>
            <w:r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  <w:lang w:val="sr-Cyrl-RS"/>
              </w:rPr>
              <w:t>Телеки дент</w:t>
            </w: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отпад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  <w:r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  <w:t>x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Latn-R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ваздух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бука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  <w:lang w:val="sr-Cyrl-RS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450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2088" w:type="dxa"/>
            <w:vMerge w:val="continue"/>
            <w:vAlign w:val="center"/>
          </w:tcPr>
          <w:p>
            <w:pPr>
              <w:jc w:val="center"/>
              <w:rPr>
                <w:rFonts w:hint="default" w:ascii="Arial" w:hAnsi="Arial" w:cs="Arial"/>
                <w:b/>
                <w:bCs w:val="0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1149" w:type="dxa"/>
            <w:vAlign w:val="center"/>
          </w:tcPr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нејон.</w:t>
            </w:r>
          </w:p>
          <w:p>
            <w:pPr>
              <w:widowControl/>
              <w:jc w:val="left"/>
              <w:textAlignment w:val="center"/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</w:pPr>
            <w:r>
              <w:rPr>
                <w:rFonts w:hint="default" w:ascii="Arial" w:hAnsi="Arial" w:eastAsia="SimSun" w:cs="Arial"/>
                <w:i w:val="0"/>
                <w:color w:val="000000"/>
                <w:kern w:val="0"/>
                <w:sz w:val="20"/>
                <w:szCs w:val="20"/>
                <w:lang w:val="sr-Cyrl-RS" w:eastAsia="zh-CN" w:bidi="ar-SA"/>
              </w:rPr>
              <w:t>зрачење</w:t>
            </w: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22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  <w:tc>
          <w:tcPr>
            <w:tcW w:w="431" w:type="dxa"/>
            <w:vAlign w:val="center"/>
          </w:tcPr>
          <w:p>
            <w:pPr>
              <w:jc w:val="center"/>
              <w:rPr>
                <w:rFonts w:hint="default" w:ascii="Arial" w:hAnsi="Arial" w:cs="Arial"/>
                <w:i w:val="0"/>
                <w:color w:val="000000"/>
                <w:sz w:val="20"/>
                <w:szCs w:val="20"/>
              </w:rPr>
            </w:pPr>
          </w:p>
        </w:tc>
      </w:tr>
    </w:tbl>
    <w:p>
      <w:pPr>
        <w:rPr>
          <w:rFonts w:hint="default"/>
          <w:sz w:val="22"/>
          <w:szCs w:val="22"/>
          <w:lang w:val="sr-Cyrl-RS"/>
        </w:rPr>
      </w:pPr>
    </w:p>
    <w:p>
      <w:pPr>
        <w:rPr>
          <w:rFonts w:hint="default"/>
          <w:sz w:val="22"/>
          <w:szCs w:val="22"/>
          <w:lang w:val="sr-Cyrl-RS"/>
        </w:rPr>
      </w:pPr>
    </w:p>
    <w:p>
      <w:pPr>
        <w:rPr>
          <w:rFonts w:hint="default"/>
          <w:sz w:val="22"/>
          <w:szCs w:val="22"/>
          <w:lang w:val="sr-Cyrl-RS"/>
        </w:rPr>
      </w:pPr>
    </w:p>
    <w:p>
      <w:pPr>
        <w:rPr>
          <w:rFonts w:hint="default"/>
          <w:sz w:val="22"/>
          <w:szCs w:val="22"/>
          <w:lang w:val="sr-Cyrl-RS"/>
        </w:rPr>
      </w:pPr>
    </w:p>
    <w:p>
      <w:pPr>
        <w:rPr>
          <w:rFonts w:hint="default"/>
          <w:sz w:val="22"/>
          <w:szCs w:val="22"/>
          <w:lang w:val="sr-Cyrl-RS"/>
        </w:rPr>
      </w:pPr>
    </w:p>
    <w:p>
      <w:pPr>
        <w:rPr>
          <w:rFonts w:hint="default"/>
          <w:sz w:val="22"/>
          <w:szCs w:val="22"/>
          <w:lang w:val="sr-Cyrl-RS"/>
        </w:rPr>
      </w:pPr>
    </w:p>
    <w:p>
      <w:pPr>
        <w:rPr>
          <w:rFonts w:hint="default"/>
          <w:sz w:val="22"/>
          <w:szCs w:val="22"/>
          <w:lang w:val="sr-Cyrl-RS"/>
        </w:rPr>
      </w:pPr>
    </w:p>
    <w:p>
      <w:pPr>
        <w:rPr>
          <w:rFonts w:hint="default"/>
          <w:sz w:val="22"/>
          <w:szCs w:val="22"/>
          <w:lang w:val="sr-Cyrl-RS"/>
        </w:rPr>
      </w:pPr>
    </w:p>
    <w:p>
      <w:pPr>
        <w:rPr>
          <w:rFonts w:hint="default"/>
          <w:sz w:val="22"/>
          <w:szCs w:val="22"/>
          <w:lang w:val="sr-Cyrl-RS"/>
        </w:rPr>
      </w:pPr>
    </w:p>
    <w:p>
      <w:pPr>
        <w:rPr>
          <w:rFonts w:hint="default"/>
          <w:sz w:val="22"/>
          <w:szCs w:val="22"/>
          <w:lang w:val="sr-Cyrl-RS"/>
        </w:rPr>
      </w:pP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right="0" w:rightChars="0"/>
        <w:jc w:val="both"/>
        <w:textAlignment w:val="auto"/>
        <w:rPr>
          <w:rFonts w:hint="default" w:ascii="Times New Roman" w:hAnsi="Times New Roman" w:cs="Times New Roman"/>
          <w:bCs/>
          <w:sz w:val="22"/>
          <w:szCs w:val="22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  <w:t xml:space="preserve">Република Србија 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  <w:t>Аутономна Покрајина Војводина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 w:firstLine="72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  <w:t>Општина Србобран</w:t>
      </w:r>
    </w:p>
    <w:p>
      <w:pPr>
        <w:pStyle w:val="2"/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 w:val="0"/>
          <w:sz w:val="22"/>
          <w:szCs w:val="22"/>
        </w:rPr>
      </w:pPr>
      <w:r>
        <w:rPr>
          <w:rFonts w:hint="default" w:ascii="Times New Roman" w:hAnsi="Times New Roman" w:cs="Times New Roman"/>
          <w:b/>
          <w:bCs w:val="0"/>
          <w:sz w:val="22"/>
          <w:szCs w:val="22"/>
        </w:rPr>
        <w:t xml:space="preserve">Општинска управа Србобран </w:t>
      </w:r>
    </w:p>
    <w:p>
      <w:pPr>
        <w:rPr>
          <w:rFonts w:hint="default"/>
          <w:b/>
          <w:bCs w:val="0"/>
          <w:lang w:val="sr-Cyrl-RS"/>
        </w:rPr>
      </w:pPr>
      <w:r>
        <w:rPr>
          <w:rFonts w:hint="default" w:cs="Times New Roman"/>
          <w:b/>
          <w:bCs w:val="0"/>
          <w:sz w:val="22"/>
          <w:szCs w:val="22"/>
          <w:lang w:val="sr-Cyrl-RS"/>
        </w:rPr>
        <w:t>Одељење за урбанизам,стамбено-комналне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  <w:t xml:space="preserve">послове и заштиту животне средине 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cs="Times New Roman"/>
          <w:b/>
          <w:bCs/>
          <w:sz w:val="22"/>
          <w:szCs w:val="22"/>
          <w:lang w:val="sr-Cyrl-R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en-US"/>
        </w:rPr>
        <w:t>Broj</w:t>
      </w: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:</w:t>
      </w:r>
      <w:r>
        <w:rPr>
          <w:rFonts w:hint="default" w:cs="Times New Roman"/>
          <w:b/>
          <w:bCs/>
          <w:sz w:val="22"/>
          <w:szCs w:val="22"/>
          <w:lang w:val="sr-Cyrl-RS"/>
        </w:rPr>
        <w:t>501- 90 /16-</w:t>
      </w:r>
      <w:r>
        <w:rPr>
          <w:rFonts w:hint="default" w:cs="Times New Roman"/>
          <w:b/>
          <w:bCs/>
          <w:sz w:val="22"/>
          <w:szCs w:val="22"/>
          <w:lang w:val="sr-Latn-RS"/>
        </w:rPr>
        <w:t>IV</w:t>
      </w:r>
      <w:r>
        <w:rPr>
          <w:rFonts w:hint="default" w:cs="Times New Roman"/>
          <w:b/>
          <w:bCs/>
          <w:sz w:val="22"/>
          <w:szCs w:val="22"/>
          <w:lang w:val="sr-Cyrl-RS"/>
        </w:rPr>
        <w:t>-01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en-U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Дана:1</w:t>
      </w:r>
      <w:r>
        <w:rPr>
          <w:rFonts w:hint="default" w:cs="Times New Roman"/>
          <w:b/>
          <w:bCs/>
          <w:sz w:val="22"/>
          <w:szCs w:val="22"/>
          <w:lang w:val="sr-Cyrl-RS"/>
        </w:rPr>
        <w:t>2</w:t>
      </w:r>
      <w:r>
        <w:rPr>
          <w:rFonts w:hint="default" w:ascii="Times New Roman" w:hAnsi="Times New Roman" w:cs="Times New Roman"/>
          <w:b/>
          <w:bCs/>
          <w:sz w:val="22"/>
          <w:szCs w:val="22"/>
          <w:lang w:val="sr-Cyrl-RS"/>
        </w:rPr>
        <w:t>.10.2016.године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  <w:t>21480 Србобран, Трг Слободе бр. 2.</w:t>
      </w:r>
      <w:r>
        <w:rPr>
          <w:rFonts w:hint="default" w:ascii="Times New Roman" w:hAnsi="Times New Roman" w:cs="Times New Roman"/>
          <w:b/>
          <w:bCs/>
          <w:sz w:val="22"/>
          <w:szCs w:val="22"/>
        </w:rPr>
        <w:t xml:space="preserve"> </w:t>
      </w:r>
    </w:p>
    <w:p>
      <w:pPr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</w:pPr>
      <w:r>
        <w:rPr>
          <w:rFonts w:hint="default" w:ascii="Times New Roman" w:hAnsi="Times New Roman" w:cs="Times New Roman"/>
          <w:b/>
          <w:bCs/>
          <w:sz w:val="22"/>
          <w:szCs w:val="22"/>
          <w:lang w:val="sr-Cyrl-CS"/>
        </w:rPr>
        <w:t>Тел: 021/ 730-020, Фах: 021/ 731-079</w:t>
      </w:r>
    </w:p>
    <w:p>
      <w:pPr>
        <w:pStyle w:val="4"/>
        <w:keepLines w:val="0"/>
        <w:pageBreakBefore w:val="0"/>
        <w:widowControl w:val="0"/>
        <w:kinsoku/>
        <w:wordWrap/>
        <w:topLinePunct w:val="0"/>
        <w:bidi w:val="0"/>
        <w:adjustRightInd w:val="0"/>
        <w:snapToGrid w:val="0"/>
        <w:spacing w:before="0" w:beforeLines="0" w:after="0" w:afterLines="0" w:line="240" w:lineRule="auto"/>
        <w:ind w:left="0" w:leftChars="0" w:right="0" w:rightChars="0"/>
        <w:jc w:val="both"/>
        <w:textAlignment w:val="auto"/>
        <w:rPr>
          <w:rFonts w:hint="default" w:ascii="Times New Roman" w:hAnsi="Times New Roman" w:cs="Times New Roman"/>
          <w:sz w:val="22"/>
          <w:szCs w:val="22"/>
          <w:lang w:val="sr-Cyrl-CS"/>
        </w:rPr>
      </w:pPr>
      <w:r>
        <w:rPr>
          <w:rFonts w:hint="default" w:ascii="Times New Roman" w:hAnsi="Times New Roman" w:cs="Times New Roman"/>
          <w:sz w:val="22"/>
          <w:szCs w:val="22"/>
        </w:rPr>
        <w:t xml:space="preserve">E-mail: </w:t>
      </w:r>
      <w:r>
        <w:rPr>
          <w:rFonts w:hint="default" w:ascii="Times New Roman" w:hAnsi="Times New Roman" w:cs="Times New Roman"/>
          <w:sz w:val="22"/>
          <w:szCs w:val="22"/>
        </w:rPr>
        <w:fldChar w:fldCharType="begin"/>
      </w:r>
      <w:r>
        <w:rPr>
          <w:rFonts w:hint="default" w:ascii="Times New Roman" w:hAnsi="Times New Roman" w:cs="Times New Roman"/>
          <w:sz w:val="22"/>
          <w:szCs w:val="22"/>
        </w:rPr>
        <w:instrText xml:space="preserve"> HYPERLINK "mailto:srbobran@eunet.rs" </w:instrText>
      </w:r>
      <w:r>
        <w:rPr>
          <w:rFonts w:hint="default" w:ascii="Times New Roman" w:hAnsi="Times New Roman" w:cs="Times New Roman"/>
          <w:sz w:val="22"/>
          <w:szCs w:val="22"/>
        </w:rPr>
        <w:fldChar w:fldCharType="separate"/>
      </w:r>
      <w:r>
        <w:rPr>
          <w:rStyle w:val="6"/>
          <w:rFonts w:hint="default" w:ascii="Times New Roman" w:hAnsi="Times New Roman" w:cs="Times New Roman"/>
          <w:sz w:val="22"/>
          <w:szCs w:val="22"/>
        </w:rPr>
        <w:t>srbobran@eunet.rs</w:t>
      </w:r>
      <w:r>
        <w:rPr>
          <w:rFonts w:hint="default" w:ascii="Times New Roman" w:hAnsi="Times New Roman" w:cs="Times New Roman"/>
          <w:sz w:val="22"/>
          <w:szCs w:val="22"/>
        </w:rPr>
        <w:fldChar w:fldCharType="end"/>
      </w: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 w:ascii="Times New Roman" w:hAnsi="Times New Roman" w:cs="Times New Roman"/>
          <w:sz w:val="22"/>
          <w:szCs w:val="22"/>
          <w:lang w:val="sr-Cyrl-RS"/>
        </w:rPr>
      </w:pPr>
    </w:p>
    <w:p>
      <w:pPr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На основу Члана 10. Закона о инспекцијском надзору (Сл.гласник РС бр.36/2015)</w:t>
      </w:r>
      <w:r>
        <w:rPr>
          <w:rFonts w:hint="default"/>
          <w:sz w:val="22"/>
          <w:szCs w:val="22"/>
          <w:lang w:val="en-US"/>
        </w:rPr>
        <w:t xml:space="preserve"> </w:t>
      </w:r>
      <w:r>
        <w:rPr>
          <w:rFonts w:hint="default"/>
          <w:sz w:val="22"/>
          <w:szCs w:val="22"/>
          <w:lang w:val="sr-Cyrl-RS"/>
        </w:rPr>
        <w:t>инспекција је дужна да сачини годишњи плана рада инспекцијског надзора,који се спроводи кроз оперативне</w:t>
      </w:r>
      <w:r>
        <w:rPr>
          <w:rFonts w:hint="default"/>
          <w:sz w:val="22"/>
          <w:szCs w:val="22"/>
          <w:lang w:val="en-US"/>
        </w:rPr>
        <w:t xml:space="preserve"> </w:t>
      </w:r>
      <w:r>
        <w:rPr>
          <w:rFonts w:hint="default"/>
          <w:sz w:val="22"/>
          <w:szCs w:val="22"/>
          <w:lang w:val="sr-Cyrl-RS"/>
        </w:rPr>
        <w:t>(полугодишње,тромесечне и месечне) планове инспекцијског надзора.Овај документ представља план рада инспекције за заштиту животне средине у спровођењу поверених послова инспекцијског надзора и контрола по службеној дужности на подручју општине Србобран.</w:t>
      </w:r>
    </w:p>
    <w:p>
      <w:pPr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b/>
          <w:bCs/>
          <w:sz w:val="22"/>
          <w:szCs w:val="22"/>
          <w:lang w:val="sr-Cyrl-RS"/>
        </w:rPr>
      </w:pPr>
    </w:p>
    <w:p>
      <w:pPr>
        <w:jc w:val="both"/>
        <w:rPr>
          <w:rFonts w:hint="default"/>
          <w:b/>
          <w:bCs/>
          <w:sz w:val="22"/>
          <w:szCs w:val="22"/>
          <w:lang w:val="sr-Cyrl-RS"/>
        </w:rPr>
      </w:pPr>
      <w:r>
        <w:rPr>
          <w:rFonts w:hint="default"/>
          <w:b/>
          <w:bCs/>
          <w:sz w:val="22"/>
          <w:szCs w:val="22"/>
          <w:lang w:val="sr-Cyrl-RS"/>
        </w:rPr>
        <w:t xml:space="preserve">  ПЛАН РАДА ИНСПЕКЦИЈЕ ЗА ЗАШТИТУ ЖИВОТНЕ СРЕДИНЕ ЗА 2017.год 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Послове надзора из надлежности инспекције за заштиту животне средине обавља један инспектор,висока школска спрема.</w:t>
      </w: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b/>
          <w:bCs/>
          <w:sz w:val="22"/>
          <w:szCs w:val="22"/>
          <w:lang w:val="sr-Cyrl-RS"/>
        </w:rPr>
      </w:pPr>
      <w:r>
        <w:rPr>
          <w:rFonts w:hint="default"/>
          <w:b/>
          <w:bCs/>
          <w:sz w:val="22"/>
          <w:szCs w:val="22"/>
          <w:lang w:val="sr-Cyrl-RS"/>
        </w:rPr>
        <w:t>ЦИЉЕВИ</w:t>
      </w: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Општи циљ овог Плана је превенција и деловање ради спречавања загађивања животне средине и повећање поштовања еколошких стандарда.</w:t>
      </w: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b/>
          <w:bCs/>
          <w:sz w:val="22"/>
          <w:szCs w:val="22"/>
          <w:lang w:val="sr-Cyrl-RS"/>
        </w:rPr>
      </w:pPr>
      <w:r>
        <w:rPr>
          <w:rFonts w:hint="default"/>
          <w:b/>
          <w:bCs/>
          <w:sz w:val="22"/>
          <w:szCs w:val="22"/>
          <w:lang w:val="sr-Cyrl-RS"/>
        </w:rPr>
        <w:t xml:space="preserve">СПРОВОЂЕЊЕ ИНСПЕКЦИЈСКОГ НАДЗОРА 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Приликом инспекцијског надзора ,инспектор за заштиту животне средине је дужан да се придржава поцедура утврђених Законом о инспекцијском надзору и позитивних закона из области надзора, уз обавезно коришћење контрол листа.  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                 </w:t>
      </w: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b/>
          <w:bCs/>
          <w:sz w:val="22"/>
          <w:szCs w:val="22"/>
          <w:lang w:val="sr-Cyrl-RS"/>
        </w:rPr>
      </w:pPr>
      <w:r>
        <w:rPr>
          <w:rFonts w:hint="default"/>
          <w:b/>
          <w:bCs/>
          <w:sz w:val="22"/>
          <w:szCs w:val="22"/>
          <w:lang w:val="sr-Cyrl-RS"/>
        </w:rPr>
        <w:t>ПЛАНИРАЊЕ ИНСПЕКЦИЈСКИХ НАДЗОРА</w:t>
      </w:r>
    </w:p>
    <w:p>
      <w:pPr>
        <w:jc w:val="both"/>
        <w:rPr>
          <w:rFonts w:hint="default"/>
          <w:b/>
          <w:bCs/>
          <w:sz w:val="22"/>
          <w:szCs w:val="22"/>
          <w:lang w:val="sr-Cyrl-RS"/>
        </w:rPr>
      </w:pP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При изради овог Плана инспектор је користио искуства из претходних инспекцијских контрола.</w:t>
      </w: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b/>
          <w:bCs/>
          <w:sz w:val="22"/>
          <w:szCs w:val="22"/>
          <w:lang w:val="sr-Cyrl-RS"/>
        </w:rPr>
      </w:pPr>
      <w:r>
        <w:rPr>
          <w:rFonts w:hint="default"/>
          <w:b/>
          <w:bCs/>
          <w:sz w:val="22"/>
          <w:szCs w:val="22"/>
          <w:lang w:val="sr-Cyrl-RS"/>
        </w:rPr>
        <w:t>АКТИВНОСТИ У ОКВИРУ ПРОЦЕСА ИНСПЕКЦИЈСКОГ НАДЗОРА</w:t>
      </w: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 1.Примена закона и других прописа којима се уређује заштита ваздуха од загађења,за које дозволу за изградњу даје надлежни општински орган.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2.Примена закона и других прописа којима се уређује заштита од штетног деловања буке у животној средини,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3.Спровођење мера заштите животне средине дефинисаних студијом о процени утицаја и налагање подношење захтева за одлучивање о потреби израде студије утицаја о процени утицаја на животну средину,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4.Надзор над активностима сакупљања , привременог складиштења и транспорта инерног и неопасног отпада на локацији власника отпада за које надлежни орган општине издаје дозволу,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5.Надзор над управљањем амбалажом и амбалажним отпадом (третман,одлагање,рециклажа)за сва постројења и активности за које дозволу за рад издаје надлежни орган општине.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6.Заштита од нејонизујућег зрачења у објектима за које одобрење за изградњу и почетак рада даје надлежни орган општине.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7.Спровођење мера непосредне заштите,очувања и коришћења заштићених природних добара на заштићеним подручјима који су актом општине проглашени заштићеним подручјима.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8.Вођење посебних евиденција у складу са законом , као и други послови инспекцијског надзора у области заштите животне средине.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9.Вођење управног и извршног поступка.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10.Доношење управних аката и обављање управних радњи у поступку инспекцијског надзора у области заштите животне средине.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11.Подношење захтева за покретање прекршајног поступка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   12.Припремање извештаја и информација о извршеним инспекцијским надзорима</w:t>
      </w: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b/>
          <w:bCs/>
          <w:sz w:val="22"/>
          <w:szCs w:val="22"/>
          <w:lang w:val="sr-Cyrl-RS"/>
        </w:rPr>
      </w:pPr>
    </w:p>
    <w:p>
      <w:pPr>
        <w:jc w:val="both"/>
        <w:rPr>
          <w:rFonts w:hint="default"/>
          <w:b/>
          <w:bCs/>
          <w:sz w:val="22"/>
          <w:szCs w:val="22"/>
          <w:lang w:val="sr-Cyrl-RS"/>
        </w:rPr>
      </w:pPr>
      <w:r>
        <w:rPr>
          <w:rFonts w:hint="default"/>
          <w:b/>
          <w:bCs/>
          <w:sz w:val="22"/>
          <w:szCs w:val="22"/>
          <w:lang w:val="sr-Cyrl-RS"/>
        </w:rPr>
        <w:t>ПРОПИСИ ПО КОЈИМА ПОСТУПА ИНСПЕКЦИЈА ЗА ЗАШТИТУ ЖИВОТНЕ СРЕДИНЕ</w:t>
      </w:r>
    </w:p>
    <w:p>
      <w:pPr>
        <w:jc w:val="both"/>
        <w:rPr>
          <w:rFonts w:hint="default"/>
          <w:b/>
          <w:bCs/>
          <w:sz w:val="22"/>
          <w:szCs w:val="22"/>
          <w:lang w:val="sr-Cyrl-RS"/>
        </w:rPr>
      </w:pP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-Закон о заштити животне средине (Сл.гласник РС  бр.14/16),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-Закон о управљању отпадом (Сл.гласник РС бр.36/09,88/10 и 14/16),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-Закон о заштити природе (Сл.гласник РС бр.39/09,88/10,91/10 и 14/16),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-Закон о заштити ваздуха (Сл.гласник РС бр.36/09 и 10/13),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-Закон о заштити од буке у животној средини (Сл.гласник РС бр.36/09 и 88/10),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-Закон о заштити од нејонизујућег зрачења (Сл.гласник РС бр.39/09)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en-US"/>
        </w:rPr>
        <w:t>-</w:t>
      </w:r>
      <w:r>
        <w:rPr>
          <w:rFonts w:hint="default"/>
          <w:sz w:val="22"/>
          <w:szCs w:val="22"/>
          <w:lang w:val="sr-Cyrl-RS"/>
        </w:rPr>
        <w:t>Закон о хемикалијама (Сл.гласник бр.РС 36/09,88/10,92/11,93/12 и 25/15),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-Закон о процени утицаја на животну средину (Сл.гласник РС бр.135/04 и 36/09)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-Закон о опште управном поступку (Сл.гласник РС бр.18/2016)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-Закон о прекршајима (Сл.гласник РС бр.65/13 и 13/16)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-Општинска одлука о акустичном зонирању и мерама за заштиту од буке (Сл.лист општине Србобран бр.2/2013)</w:t>
      </w: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b/>
          <w:bCs/>
          <w:sz w:val="22"/>
          <w:szCs w:val="22"/>
          <w:lang w:val="sr-Cyrl-RS"/>
        </w:rPr>
      </w:pPr>
      <w:r>
        <w:rPr>
          <w:rFonts w:hint="default"/>
          <w:b/>
          <w:bCs/>
          <w:sz w:val="22"/>
          <w:szCs w:val="22"/>
          <w:lang w:val="sr-Cyrl-RS"/>
        </w:rPr>
        <w:t>План за 2017.годину: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- 78  редовних инспекцијских надзора,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 xml:space="preserve">- </w:t>
      </w:r>
      <w:r>
        <w:rPr>
          <w:rFonts w:hint="default"/>
          <w:sz w:val="22"/>
          <w:szCs w:val="22"/>
          <w:lang w:val="en-US"/>
        </w:rPr>
        <w:t xml:space="preserve">40% </w:t>
      </w:r>
      <w:r>
        <w:rPr>
          <w:rFonts w:hint="default"/>
          <w:sz w:val="22"/>
          <w:szCs w:val="22"/>
          <w:lang w:val="sr-Cyrl-RS"/>
        </w:rPr>
        <w:t>ванредних инспекцијских надзора у односу на број редовних - 31</w:t>
      </w:r>
      <w:bookmarkStart w:id="0" w:name="_GoBack"/>
      <w:bookmarkEnd w:id="0"/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sz w:val="22"/>
          <w:szCs w:val="22"/>
          <w:lang w:val="sr-Cyrl-RS"/>
        </w:rPr>
      </w:pPr>
    </w:p>
    <w:p>
      <w:pPr>
        <w:jc w:val="both"/>
        <w:rPr>
          <w:rFonts w:hint="default"/>
          <w:b/>
          <w:bCs/>
          <w:sz w:val="22"/>
          <w:szCs w:val="22"/>
          <w:lang w:val="sr-Cyrl-RS"/>
        </w:rPr>
      </w:pPr>
      <w:r>
        <w:rPr>
          <w:rFonts w:hint="default"/>
          <w:b/>
          <w:bCs/>
          <w:sz w:val="22"/>
          <w:szCs w:val="22"/>
          <w:lang w:val="sr-Cyrl-RS"/>
        </w:rPr>
        <w:t>У 2017.години инспектор ће вршити и: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-ванредне и контролне инспекцијске надзоре,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-остале послове из заштите животне средине,</w:t>
      </w:r>
    </w:p>
    <w:p>
      <w:pPr>
        <w:jc w:val="both"/>
        <w:rPr>
          <w:rFonts w:hint="default"/>
          <w:sz w:val="22"/>
          <w:szCs w:val="22"/>
          <w:lang w:val="sr-Cyrl-RS"/>
        </w:rPr>
      </w:pPr>
      <w:r>
        <w:rPr>
          <w:rFonts w:hint="default"/>
          <w:sz w:val="22"/>
          <w:szCs w:val="22"/>
          <w:lang w:val="sr-Cyrl-RS"/>
        </w:rPr>
        <w:t>-учешће на семинарима,курсевима и обукама и сл</w:t>
      </w:r>
    </w:p>
    <w:p>
      <w:pPr>
        <w:jc w:val="both"/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C47263"/>
    <w:rsid w:val="051971A3"/>
    <w:rsid w:val="08EE711C"/>
    <w:rsid w:val="1046110F"/>
    <w:rsid w:val="148640ED"/>
    <w:rsid w:val="14933218"/>
    <w:rsid w:val="18F46221"/>
    <w:rsid w:val="1CC70598"/>
    <w:rsid w:val="1F087548"/>
    <w:rsid w:val="256165F3"/>
    <w:rsid w:val="262108E6"/>
    <w:rsid w:val="28CA1EC4"/>
    <w:rsid w:val="354E3AFA"/>
    <w:rsid w:val="39344E11"/>
    <w:rsid w:val="3A6A7CC2"/>
    <w:rsid w:val="49A82877"/>
    <w:rsid w:val="517A7AA1"/>
    <w:rsid w:val="5572435E"/>
    <w:rsid w:val="57BD02F1"/>
    <w:rsid w:val="581C624E"/>
    <w:rsid w:val="5BA51613"/>
    <w:rsid w:val="6003005F"/>
    <w:rsid w:val="62E2603B"/>
    <w:rsid w:val="65F12846"/>
    <w:rsid w:val="729A6A00"/>
    <w:rsid w:val="787D410F"/>
    <w:rsid w:val="7A1B69D1"/>
    <w:rsid w:val="7B3D12D7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semiHidden="0" w:name="heading 5"/>
    <w:lsdException w:qFormat="1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left"/>
    </w:pPr>
    <w:rPr>
      <w:rFonts w:ascii="Times New Roman" w:hAnsi="Times New Roman" w:eastAsiaTheme="minorEastAsia" w:cstheme="minorBidi"/>
      <w:kern w:val="2"/>
      <w:sz w:val="24"/>
      <w:szCs w:val="22"/>
      <w:lang w:val="en-US" w:eastAsia="zh-CN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240" w:beforeLines="0" w:beforeAutospacing="0" w:after="60" w:afterLines="0" w:afterAutospacing="0" w:line="240" w:lineRule="auto"/>
      <w:outlineLvl w:val="0"/>
    </w:pPr>
    <w:rPr>
      <w:rFonts w:ascii="Arial" w:hAnsi="Arial"/>
      <w:b/>
      <w:kern w:val="44"/>
      <w:sz w:val="32"/>
    </w:rPr>
  </w:style>
  <w:style w:type="paragraph" w:styleId="3">
    <w:name w:val="heading 5"/>
    <w:basedOn w:val="1"/>
    <w:next w:val="1"/>
    <w:unhideWhenUsed/>
    <w:qFormat/>
    <w:uiPriority w:val="0"/>
    <w:pPr>
      <w:keepNext/>
      <w:keepLines/>
      <w:spacing w:before="240" w:beforeLines="0" w:beforeAutospacing="0" w:after="60" w:afterLines="0" w:afterAutospacing="0" w:line="240" w:lineRule="auto"/>
      <w:outlineLvl w:val="4"/>
    </w:pPr>
    <w:rPr>
      <w:b/>
      <w:i/>
      <w:sz w:val="26"/>
    </w:rPr>
  </w:style>
  <w:style w:type="paragraph" w:styleId="4">
    <w:name w:val="heading 6"/>
    <w:basedOn w:val="1"/>
    <w:next w:val="1"/>
    <w:unhideWhenUsed/>
    <w:qFormat/>
    <w:uiPriority w:val="0"/>
    <w:pPr>
      <w:keepNext/>
      <w:keepLines/>
      <w:spacing w:before="240" w:beforeLines="0" w:beforeAutospacing="0" w:after="60" w:afterLines="0" w:afterAutospacing="0" w:line="240" w:lineRule="auto"/>
      <w:outlineLvl w:val="5"/>
    </w:pPr>
    <w:rPr>
      <w:rFonts w:ascii="Times New Roman" w:hAnsi="Times New Roman"/>
      <w:b/>
      <w:sz w:val="22"/>
    </w:rPr>
  </w:style>
  <w:style w:type="character" w:default="1" w:styleId="5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Office_10.2.0.5811_F1E327BC-269C-435d-A152-05C5408002CA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2016-10-03T08:52:00Z</dcterms:created>
  <dc:creator>Korisnik</dc:creator>
  <cp:lastModifiedBy>Korisnik</cp:lastModifiedBy>
  <cp:lastPrinted>2017-01-25T13:26:00Z</cp:lastPrinted>
  <dcterms:modified xsi:type="dcterms:W3CDTF">2017-01-26T11:48:59Z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1033-10.2.0.5811</vt:lpwstr>
  </property>
</Properties>
</file>